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739" w:rsidRDefault="002125CB">
      <w:pPr>
        <w:pStyle w:val="Proposal"/>
        <w:numPr>
          <w:ilvl w:val="0"/>
          <w:numId w:val="0"/>
        </w:numPr>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#10</w:t>
      </w:r>
      <w:r>
        <w:rPr>
          <w:rFonts w:ascii="Arial" w:hAnsi="Arial" w:cs="Arial" w:hint="eastAsia"/>
          <w:sz w:val="22"/>
        </w:rPr>
        <w:t>3</w:t>
      </w:r>
      <w:r>
        <w:rPr>
          <w:rFonts w:ascii="Arial" w:hAnsi="Arial" w:cs="Arial"/>
          <w:sz w:val="22"/>
        </w:rPr>
        <w:t>-e</w:t>
      </w:r>
      <w:r>
        <w:rPr>
          <w:rFonts w:ascii="Arial" w:hAnsi="Arial" w:cs="Arial"/>
          <w:sz w:val="22"/>
        </w:rPr>
        <w:tab/>
      </w:r>
      <w:r>
        <w:rPr>
          <w:rFonts w:ascii="Arial" w:hAnsi="Arial" w:cs="Arial"/>
          <w:sz w:val="22"/>
        </w:rPr>
        <w:tab/>
      </w:r>
      <w:r>
        <w:rPr>
          <w:rFonts w:ascii="Arial" w:hAnsi="Arial" w:cs="Arial"/>
          <w:sz w:val="22"/>
        </w:rPr>
        <w:tab/>
        <w:t xml:space="preserve">                                   R1-2008856</w:t>
      </w:r>
    </w:p>
    <w:p w:rsidR="00B26739" w:rsidRDefault="002125CB">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Pr>
          <w:rFonts w:ascii="Arial" w:hAnsi="Arial" w:cs="Arial" w:hint="eastAsia"/>
          <w:sz w:val="22"/>
        </w:rPr>
        <w:t>October</w:t>
      </w:r>
      <w:r>
        <w:rPr>
          <w:rFonts w:ascii="Arial" w:hAnsi="Arial" w:cs="Arial"/>
          <w:sz w:val="22"/>
        </w:rPr>
        <w:t xml:space="preserve"> </w:t>
      </w:r>
      <w:r>
        <w:rPr>
          <w:rFonts w:ascii="Arial" w:hAnsi="Arial" w:cs="Arial" w:hint="eastAsia"/>
          <w:sz w:val="22"/>
        </w:rPr>
        <w:t>26</w:t>
      </w:r>
      <w:r>
        <w:rPr>
          <w:rFonts w:ascii="Arial" w:hAnsi="Arial" w:cs="Arial"/>
          <w:sz w:val="22"/>
          <w:vertAlign w:val="superscript"/>
        </w:rPr>
        <w:t>th</w:t>
      </w:r>
      <w:r>
        <w:rPr>
          <w:rFonts w:ascii="Arial" w:hAnsi="Arial" w:cs="Arial"/>
          <w:sz w:val="22"/>
        </w:rPr>
        <w:t xml:space="preserve"> – </w:t>
      </w:r>
      <w:r>
        <w:rPr>
          <w:rFonts w:ascii="Arial" w:hAnsi="Arial" w:cs="Arial" w:hint="eastAsia"/>
          <w:sz w:val="22"/>
        </w:rPr>
        <w:t>Nov</w:t>
      </w:r>
      <w:r>
        <w:rPr>
          <w:rFonts w:ascii="Arial" w:hAnsi="Arial" w:cs="Arial"/>
          <w:sz w:val="22"/>
        </w:rPr>
        <w:t>ember</w:t>
      </w:r>
      <w:r>
        <w:rPr>
          <w:rFonts w:ascii="Arial" w:hAnsi="Arial" w:cs="Arial" w:hint="eastAsia"/>
          <w:sz w:val="22"/>
        </w:rPr>
        <w:t xml:space="preserve"> 13</w:t>
      </w:r>
      <w:r>
        <w:rPr>
          <w:rFonts w:ascii="Arial" w:hAnsi="Arial" w:cs="Arial"/>
          <w:sz w:val="22"/>
          <w:vertAlign w:val="superscript"/>
        </w:rPr>
        <w:t>th</w:t>
      </w:r>
      <w:r>
        <w:rPr>
          <w:rFonts w:ascii="Arial" w:hAnsi="Arial" w:cs="Arial"/>
          <w:sz w:val="22"/>
        </w:rPr>
        <w:t>, 2020</w:t>
      </w:r>
    </w:p>
    <w:p w:rsidR="00B26739" w:rsidRDefault="00B26739">
      <w:pPr>
        <w:pStyle w:val="3GPPHeader"/>
        <w:snapToGrid w:val="0"/>
        <w:rPr>
          <w:rFonts w:cs="Arial"/>
          <w:sz w:val="22"/>
        </w:rPr>
      </w:pPr>
    </w:p>
    <w:p w:rsidR="00B26739" w:rsidRDefault="002125CB">
      <w:pPr>
        <w:pStyle w:val="3GPPHeader"/>
        <w:snapToGrid w:val="0"/>
        <w:rPr>
          <w:rFonts w:cs="Arial"/>
          <w:sz w:val="22"/>
        </w:rPr>
      </w:pPr>
      <w:r>
        <w:rPr>
          <w:rFonts w:cs="Arial"/>
          <w:sz w:val="22"/>
        </w:rPr>
        <w:t>Source:</w:t>
      </w:r>
      <w:r>
        <w:rPr>
          <w:rFonts w:cs="Arial"/>
          <w:sz w:val="22"/>
        </w:rPr>
        <w:tab/>
        <w:t>ZTE</w:t>
      </w:r>
    </w:p>
    <w:p w:rsidR="00B26739" w:rsidRDefault="002125CB">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power consumption and NPRACH capacity </w:t>
      </w:r>
      <w:r>
        <w:rPr>
          <w:rFonts w:cs="Arial"/>
          <w:sz w:val="22"/>
        </w:rPr>
        <w:t>for NTN</w:t>
      </w:r>
    </w:p>
    <w:p w:rsidR="00B26739" w:rsidRDefault="002125CB">
      <w:pPr>
        <w:pStyle w:val="3GPPHeader"/>
        <w:snapToGrid w:val="0"/>
        <w:rPr>
          <w:rFonts w:cs="Arial"/>
          <w:sz w:val="22"/>
        </w:rPr>
      </w:pPr>
      <w:r>
        <w:rPr>
          <w:rFonts w:cs="Arial"/>
          <w:sz w:val="22"/>
        </w:rPr>
        <w:t>Agenda Item:</w:t>
      </w:r>
      <w:r>
        <w:rPr>
          <w:rFonts w:cs="Arial"/>
          <w:sz w:val="22"/>
        </w:rPr>
        <w:tab/>
        <w:t>8.15</w:t>
      </w:r>
      <w:r>
        <w:rPr>
          <w:rFonts w:cs="Arial" w:hint="eastAsia"/>
          <w:sz w:val="22"/>
        </w:rPr>
        <w:t>.</w:t>
      </w:r>
      <w:r>
        <w:rPr>
          <w:rFonts w:cs="Arial"/>
          <w:sz w:val="22"/>
        </w:rPr>
        <w:t>3</w:t>
      </w:r>
    </w:p>
    <w:p w:rsidR="00B26739" w:rsidRDefault="002125CB">
      <w:pPr>
        <w:pBdr>
          <w:bottom w:val="single" w:sz="6" w:space="1" w:color="auto"/>
        </w:pBdr>
        <w:snapToGrid w:val="0"/>
        <w:rPr>
          <w:rFonts w:ascii="Arial" w:hAnsi="Arial"/>
          <w:b/>
        </w:rPr>
      </w:pPr>
      <w:r>
        <w:rPr>
          <w:rFonts w:ascii="Arial" w:hAnsi="Arial"/>
          <w:b/>
        </w:rPr>
        <w:t>Document for:   Discussion</w:t>
      </w:r>
      <w:bookmarkEnd w:id="0"/>
      <w:bookmarkEnd w:id="1"/>
    </w:p>
    <w:p w:rsidR="00B26739" w:rsidRDefault="002125CB">
      <w:pPr>
        <w:pStyle w:val="Heading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B26739" w:rsidRDefault="002125CB">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RAN#86 meeting, the SI for IoT over NTN is approved to investigate the feasibility on IoT service via satellite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_Ref54083880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9E44F6">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According to the scope, it can be found that similar aspects are expected to be studied as the NR-NTN, e.g., link budget, timing relationship, synchronization, mobility, etc. However, with consideration on the unique needs of IoT, more aspects, e.g., power consumption and capacity, should also be studied as critical feature</w:t>
      </w:r>
      <w:r w:rsidR="00035209">
        <w:rPr>
          <w:rFonts w:ascii="Times New Roman" w:hAnsi="Times New Roman" w:cs="Times New Roman"/>
          <w:sz w:val="20"/>
          <w:szCs w:val="20"/>
        </w:rPr>
        <w:t>s</w:t>
      </w:r>
      <w:r>
        <w:rPr>
          <w:rFonts w:ascii="Times New Roman" w:hAnsi="Times New Roman" w:cs="Times New Roman"/>
          <w:sz w:val="20"/>
          <w:szCs w:val="20"/>
        </w:rPr>
        <w:t xml:space="preserve"> to enable the potential commercial usage.</w:t>
      </w:r>
    </w:p>
    <w:p w:rsidR="00B26739" w:rsidRDefault="002125CB">
      <w:pPr>
        <w:rPr>
          <w:rFonts w:ascii="Times New Roman" w:hAnsi="Times New Roman" w:cs="Times New Roman"/>
          <w:sz w:val="20"/>
          <w:szCs w:val="20"/>
        </w:rPr>
      </w:pPr>
      <w:r>
        <w:rPr>
          <w:rFonts w:ascii="Times New Roman" w:hAnsi="Times New Roman" w:cs="Times New Roman"/>
          <w:sz w:val="20"/>
          <w:szCs w:val="20"/>
        </w:rPr>
        <w:t xml:space="preserve">In this contribution, detailed analysis on these two aspects are elaborated and corresponding issues for future study have also been identified. </w:t>
      </w:r>
    </w:p>
    <w:p w:rsidR="00B26739" w:rsidRDefault="002125CB">
      <w:pPr>
        <w:pStyle w:val="Heading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Power consumption in IoT</w:t>
      </w:r>
      <w:r>
        <w:rPr>
          <w:rStyle w:val="CommentReference"/>
          <w:rFonts w:asciiTheme="minorHAnsi" w:eastAsiaTheme="minorEastAsia" w:hAnsiTheme="minorHAnsi" w:cstheme="minorBidi"/>
          <w:lang w:val="en-US"/>
        </w:rPr>
        <w:t>-</w:t>
      </w:r>
      <w:r>
        <w:rPr>
          <w:rFonts w:eastAsia="黑体" w:cs="Times New Roman" w:hint="eastAsia"/>
          <w:b/>
          <w:bCs/>
          <w:sz w:val="28"/>
          <w:szCs w:val="30"/>
          <w:lang w:val="en-US"/>
        </w:rPr>
        <w:t>NTN</w:t>
      </w:r>
    </w:p>
    <w:p w:rsidR="00B26739" w:rsidRDefault="002125CB">
      <w:pPr>
        <w:rPr>
          <w:rFonts w:eastAsia="黑体" w:cs="Times New Roman"/>
          <w:b/>
          <w:bCs/>
          <w:sz w:val="28"/>
          <w:szCs w:val="30"/>
        </w:rPr>
      </w:pPr>
      <w:r>
        <w:rPr>
          <w:rFonts w:ascii="Times New Roman" w:hAnsi="Times New Roman" w:cs="Times New Roman"/>
          <w:sz w:val="20"/>
          <w:szCs w:val="20"/>
        </w:rPr>
        <w:t xml:space="preserve">The IoT techniques are widely deployed with booming market. For achieving the requirements to provide the service with battery life for years, a lot of evaluation/enhancements have been done in past study for terrestrial </w:t>
      </w:r>
      <w:proofErr w:type="gramStart"/>
      <w:r>
        <w:rPr>
          <w:rFonts w:ascii="Times New Roman" w:hAnsi="Times New Roman" w:cs="Times New Roman"/>
          <w:sz w:val="20"/>
          <w:szCs w:val="20"/>
        </w:rPr>
        <w:t>network</w:t>
      </w:r>
      <w:proofErr w:type="gramEnd"/>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_Ref14051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9E44F6">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In this SI, with consideration on characteristic of new scenario (i.e., over satellite with extended coverage, high mobility and requirements on pre-compensation), detailed discussion on the power consumption is expected. </w:t>
      </w:r>
    </w:p>
    <w:p w:rsidR="00B26739" w:rsidRDefault="002125CB">
      <w:pPr>
        <w:pStyle w:val="Heading2"/>
        <w:numPr>
          <w:ilvl w:val="1"/>
          <w:numId w:val="5"/>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Methodology on the power consumption evaluation</w:t>
      </w:r>
    </w:p>
    <w:p w:rsidR="00B26739" w:rsidRDefault="002125CB">
      <w:pPr>
        <w:rPr>
          <w:rStyle w:val="CommentReference"/>
          <w:sz w:val="20"/>
          <w:szCs w:val="20"/>
        </w:rPr>
      </w:pPr>
      <w:r>
        <w:rPr>
          <w:rFonts w:ascii="Times New Roman" w:hAnsi="Times New Roman" w:cs="Times New Roman"/>
          <w:sz w:val="20"/>
          <w:szCs w:val="20"/>
        </w:rPr>
        <w:t xml:space="preserve">Traditionally, for evaluating the overall power consumption of one UE, the life-cycle for each transmission is categorized in to different parts according to the UE state transition. For example, except </w:t>
      </w:r>
      <w:r w:rsidR="00B20370">
        <w:rPr>
          <w:rFonts w:ascii="Times New Roman" w:hAnsi="Times New Roman" w:cs="Times New Roman"/>
          <w:sz w:val="20"/>
          <w:szCs w:val="20"/>
        </w:rPr>
        <w:t>for</w:t>
      </w:r>
      <w:r>
        <w:rPr>
          <w:rFonts w:ascii="Times New Roman" w:hAnsi="Times New Roman" w:cs="Times New Roman"/>
          <w:sz w:val="20"/>
          <w:szCs w:val="20"/>
        </w:rPr>
        <w:t xml:space="preserve"> the traffic transmission/reception, the state transition is as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_Ref54080763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9E44F6" w:rsidRPr="009E44F6">
        <w:rPr>
          <w:rFonts w:ascii="Times New Roman" w:hAnsi="Times New Roman" w:cs="Times New Roman"/>
          <w:sz w:val="20"/>
          <w:szCs w:val="20"/>
        </w:rPr>
        <w:t>Figure 1</w:t>
      </w:r>
      <w:r>
        <w:rPr>
          <w:rFonts w:ascii="Times New Roman" w:hAnsi="Times New Roman" w:cs="Times New Roman"/>
          <w:sz w:val="20"/>
          <w:szCs w:val="20"/>
        </w:rPr>
        <w:fldChar w:fldCharType="end"/>
      </w:r>
      <w:r>
        <w:rPr>
          <w:rFonts w:ascii="Times New Roman" w:hAnsi="Times New Roman" w:cs="Times New Roman"/>
          <w:sz w:val="20"/>
          <w:szCs w:val="20"/>
        </w:rPr>
        <w:t xml:space="preserve"> with each numerical labels defined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_Ref54079012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9E44F6" w:rsidRPr="009E44F6">
        <w:rPr>
          <w:rFonts w:ascii="Times New Roman" w:hAnsi="Times New Roman" w:cs="Times New Roman"/>
          <w:sz w:val="20"/>
          <w:szCs w:val="20"/>
        </w:rPr>
        <w:t>Table 1</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_Ref54079037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9E44F6">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rsidR="00B26739" w:rsidRDefault="002125CB">
      <w:pPr>
        <w:keepNext/>
        <w:jc w:val="center"/>
        <w:rPr>
          <w:rStyle w:val="CommentReference"/>
          <w:sz w:val="20"/>
          <w:szCs w:val="20"/>
        </w:rPr>
      </w:pPr>
      <w:r>
        <w:rPr>
          <w:rStyle w:val="CommentReference"/>
          <w:rFonts w:hint="eastAsia"/>
          <w:noProof/>
          <w:sz w:val="20"/>
          <w:szCs w:val="20"/>
        </w:rPr>
        <w:drawing>
          <wp:inline distT="0" distB="0" distL="114300" distR="114300">
            <wp:extent cx="4836160" cy="2740025"/>
            <wp:effectExtent l="0" t="0" r="2540" b="3175"/>
            <wp:docPr id="2" name="图片 2" descr="state tran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tate transition"/>
                    <pic:cNvPicPr>
                      <a:picLocks noChangeAspect="1"/>
                    </pic:cNvPicPr>
                  </pic:nvPicPr>
                  <pic:blipFill>
                    <a:blip r:embed="rId7"/>
                    <a:stretch>
                      <a:fillRect/>
                    </a:stretch>
                  </pic:blipFill>
                  <pic:spPr>
                    <a:xfrm>
                      <a:off x="0" y="0"/>
                      <a:ext cx="4836160" cy="2740025"/>
                    </a:xfrm>
                    <a:prstGeom prst="rect">
                      <a:avLst/>
                    </a:prstGeom>
                  </pic:spPr>
                </pic:pic>
              </a:graphicData>
            </a:graphic>
          </wp:inline>
        </w:drawing>
      </w:r>
    </w:p>
    <w:p w:rsidR="00B26739" w:rsidRDefault="002125CB">
      <w:pPr>
        <w:pStyle w:val="Caption"/>
        <w:rPr>
          <w:b w:val="0"/>
        </w:rPr>
      </w:pPr>
      <w:bookmarkStart w:id="3" w:name="_Ref54080763"/>
      <w:r>
        <w:rPr>
          <w:b w:val="0"/>
        </w:rPr>
        <w:t xml:space="preserve">Figure </w:t>
      </w:r>
      <w:r>
        <w:rPr>
          <w:b w:val="0"/>
        </w:rPr>
        <w:fldChar w:fldCharType="begin"/>
      </w:r>
      <w:r>
        <w:rPr>
          <w:b w:val="0"/>
        </w:rPr>
        <w:instrText xml:space="preserve"> SEQ Figure \* ARABIC </w:instrText>
      </w:r>
      <w:r>
        <w:rPr>
          <w:b w:val="0"/>
        </w:rPr>
        <w:fldChar w:fldCharType="separate"/>
      </w:r>
      <w:r w:rsidR="009E44F6">
        <w:rPr>
          <w:b w:val="0"/>
          <w:noProof/>
        </w:rPr>
        <w:t>1</w:t>
      </w:r>
      <w:r>
        <w:rPr>
          <w:b w:val="0"/>
        </w:rPr>
        <w:fldChar w:fldCharType="end"/>
      </w:r>
      <w:bookmarkEnd w:id="3"/>
      <w:r>
        <w:rPr>
          <w:b w:val="0"/>
        </w:rPr>
        <w:t xml:space="preserve"> </w:t>
      </w:r>
      <w:proofErr w:type="gramStart"/>
      <w:r>
        <w:rPr>
          <w:b w:val="0"/>
        </w:rPr>
        <w:t>An</w:t>
      </w:r>
      <w:proofErr w:type="gramEnd"/>
      <w:r>
        <w:rPr>
          <w:b w:val="0"/>
        </w:rPr>
        <w:t xml:space="preserve"> example of UE state transition</w:t>
      </w:r>
    </w:p>
    <w:p w:rsidR="00B26739" w:rsidRDefault="002125CB">
      <w:pPr>
        <w:pStyle w:val="Caption"/>
        <w:keepNext/>
        <w:rPr>
          <w:b w:val="0"/>
        </w:rPr>
      </w:pPr>
      <w:bookmarkStart w:id="4" w:name="_Ref54079012"/>
      <w:r>
        <w:rPr>
          <w:b w:val="0"/>
        </w:rPr>
        <w:lastRenderedPageBreak/>
        <w:t xml:space="preserve">Table </w:t>
      </w:r>
      <w:r>
        <w:rPr>
          <w:b w:val="0"/>
        </w:rPr>
        <w:fldChar w:fldCharType="begin"/>
      </w:r>
      <w:r>
        <w:rPr>
          <w:b w:val="0"/>
        </w:rPr>
        <w:instrText xml:space="preserve"> SEQ Table \* ARABIC </w:instrText>
      </w:r>
      <w:r>
        <w:rPr>
          <w:b w:val="0"/>
        </w:rPr>
        <w:fldChar w:fldCharType="separate"/>
      </w:r>
      <w:r w:rsidR="009E44F6">
        <w:rPr>
          <w:b w:val="0"/>
          <w:noProof/>
        </w:rPr>
        <w:t>1</w:t>
      </w:r>
      <w:r>
        <w:rPr>
          <w:b w:val="0"/>
        </w:rPr>
        <w:fldChar w:fldCharType="end"/>
      </w:r>
      <w:bookmarkEnd w:id="4"/>
      <w:r>
        <w:rPr>
          <w:b w:val="0"/>
        </w:rPr>
        <w:t xml:space="preserve"> Definition of each label</w:t>
      </w:r>
    </w:p>
    <w:tbl>
      <w:tblPr>
        <w:tblStyle w:val="TableGrid"/>
        <w:tblW w:w="9350" w:type="dxa"/>
        <w:jc w:val="center"/>
        <w:tblLayout w:type="fixed"/>
        <w:tblLook w:val="04A0" w:firstRow="1" w:lastRow="0" w:firstColumn="1" w:lastColumn="0" w:noHBand="0" w:noVBand="1"/>
      </w:tblPr>
      <w:tblGrid>
        <w:gridCol w:w="672"/>
        <w:gridCol w:w="1747"/>
        <w:gridCol w:w="6931"/>
      </w:tblGrid>
      <w:tr w:rsidR="00B26739">
        <w:trPr>
          <w:jc w:val="center"/>
        </w:trPr>
        <w:tc>
          <w:tcPr>
            <w:tcW w:w="672"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Label</w:t>
            </w:r>
          </w:p>
        </w:tc>
        <w:tc>
          <w:tcPr>
            <w:tcW w:w="1747"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Timer</w:t>
            </w:r>
          </w:p>
        </w:tc>
        <w:tc>
          <w:tcPr>
            <w:tcW w:w="6931"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Description</w:t>
            </w:r>
          </w:p>
        </w:tc>
      </w:tr>
      <w:tr w:rsidR="00B26739">
        <w:trPr>
          <w:jc w:val="center"/>
        </w:trPr>
        <w:tc>
          <w:tcPr>
            <w:tcW w:w="672"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1</w:t>
            </w:r>
          </w:p>
        </w:tc>
        <w:tc>
          <w:tcPr>
            <w:tcW w:w="1747"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RRC inactivity Timer</w:t>
            </w:r>
          </w:p>
        </w:tc>
        <w:tc>
          <w:tcPr>
            <w:tcW w:w="6931" w:type="dxa"/>
            <w:vAlign w:val="center"/>
          </w:tcPr>
          <w:p w:rsidR="00B26739" w:rsidRDefault="002125CB">
            <w:pPr>
              <w:jc w:val="left"/>
              <w:rPr>
                <w:rFonts w:ascii="Times New Roman" w:hAnsi="Times New Roman" w:cs="Times New Roman"/>
                <w:sz w:val="20"/>
                <w:szCs w:val="20"/>
              </w:rPr>
            </w:pPr>
            <w:r>
              <w:rPr>
                <w:rFonts w:ascii="Times New Roman" w:hAnsi="Times New Roman" w:cs="Times New Roman"/>
                <w:sz w:val="20"/>
                <w:szCs w:val="20"/>
              </w:rPr>
              <w:t>Enter idle mode at the expiry.</w:t>
            </w:r>
          </w:p>
        </w:tc>
      </w:tr>
      <w:tr w:rsidR="00B26739">
        <w:trPr>
          <w:jc w:val="center"/>
        </w:trPr>
        <w:tc>
          <w:tcPr>
            <w:tcW w:w="672"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2</w:t>
            </w:r>
          </w:p>
        </w:tc>
        <w:tc>
          <w:tcPr>
            <w:tcW w:w="1747"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TAU timer T3412</w:t>
            </w:r>
          </w:p>
        </w:tc>
        <w:tc>
          <w:tcPr>
            <w:tcW w:w="6931" w:type="dxa"/>
            <w:vAlign w:val="center"/>
          </w:tcPr>
          <w:p w:rsidR="00B26739" w:rsidRDefault="002125CB">
            <w:pPr>
              <w:jc w:val="left"/>
              <w:rPr>
                <w:rFonts w:ascii="Times New Roman" w:hAnsi="Times New Roman" w:cs="Times New Roman"/>
                <w:sz w:val="20"/>
                <w:szCs w:val="20"/>
              </w:rPr>
            </w:pPr>
            <w:r>
              <w:rPr>
                <w:rFonts w:ascii="Times New Roman" w:hAnsi="Times New Roman" w:cs="Times New Roman"/>
                <w:sz w:val="20"/>
                <w:szCs w:val="20"/>
              </w:rPr>
              <w:t>Start when entering idle mode, and trigger TAU at the expiry. Value range 0-35712000s</w:t>
            </w:r>
          </w:p>
        </w:tc>
      </w:tr>
      <w:tr w:rsidR="00B26739">
        <w:trPr>
          <w:jc w:val="center"/>
        </w:trPr>
        <w:tc>
          <w:tcPr>
            <w:tcW w:w="672"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3</w:t>
            </w:r>
          </w:p>
        </w:tc>
        <w:tc>
          <w:tcPr>
            <w:tcW w:w="1747"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PSM timer T3324</w:t>
            </w:r>
          </w:p>
        </w:tc>
        <w:tc>
          <w:tcPr>
            <w:tcW w:w="6931" w:type="dxa"/>
            <w:vAlign w:val="center"/>
          </w:tcPr>
          <w:p w:rsidR="00B26739" w:rsidRDefault="002125CB">
            <w:pPr>
              <w:jc w:val="left"/>
              <w:rPr>
                <w:rFonts w:ascii="Times New Roman" w:hAnsi="Times New Roman" w:cs="Times New Roman"/>
                <w:sz w:val="20"/>
                <w:szCs w:val="20"/>
              </w:rPr>
            </w:pPr>
            <w:r>
              <w:rPr>
                <w:rFonts w:ascii="Times New Roman" w:hAnsi="Times New Roman" w:cs="Times New Roman"/>
                <w:sz w:val="20"/>
                <w:szCs w:val="20"/>
              </w:rPr>
              <w:t>Start when entering idle mode, and trigger PSM at the expiry. Value range 0-11160s.</w:t>
            </w:r>
          </w:p>
        </w:tc>
      </w:tr>
      <w:tr w:rsidR="00B26739">
        <w:trPr>
          <w:jc w:val="center"/>
        </w:trPr>
        <w:tc>
          <w:tcPr>
            <w:tcW w:w="672"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4</w:t>
            </w:r>
          </w:p>
        </w:tc>
        <w:tc>
          <w:tcPr>
            <w:tcW w:w="1747"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eDRX inactivity timer</w:t>
            </w:r>
          </w:p>
        </w:tc>
        <w:tc>
          <w:tcPr>
            <w:tcW w:w="6931" w:type="dxa"/>
            <w:vAlign w:val="center"/>
          </w:tcPr>
          <w:p w:rsidR="00B26739" w:rsidRDefault="002125CB">
            <w:pPr>
              <w:jc w:val="left"/>
              <w:rPr>
                <w:rFonts w:ascii="Times New Roman" w:hAnsi="Times New Roman" w:cs="Times New Roman"/>
                <w:sz w:val="20"/>
                <w:szCs w:val="20"/>
              </w:rPr>
            </w:pPr>
            <w:r>
              <w:rPr>
                <w:rFonts w:ascii="Times New Roman" w:hAnsi="Times New Roman" w:cs="Times New Roman"/>
                <w:sz w:val="20"/>
                <w:szCs w:val="20"/>
              </w:rPr>
              <w:t>Enter connected eDRX (c-eDRX) at the expiry. Value range 0-65536 PDCCH subframe.</w:t>
            </w:r>
          </w:p>
        </w:tc>
      </w:tr>
      <w:tr w:rsidR="00B26739">
        <w:trPr>
          <w:jc w:val="center"/>
        </w:trPr>
        <w:tc>
          <w:tcPr>
            <w:tcW w:w="672"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5</w:t>
            </w:r>
          </w:p>
        </w:tc>
        <w:tc>
          <w:tcPr>
            <w:tcW w:w="1747"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On duration timer</w:t>
            </w:r>
          </w:p>
        </w:tc>
        <w:tc>
          <w:tcPr>
            <w:tcW w:w="6931" w:type="dxa"/>
            <w:vAlign w:val="center"/>
          </w:tcPr>
          <w:p w:rsidR="00B26739" w:rsidRDefault="002125CB">
            <w:pPr>
              <w:jc w:val="left"/>
              <w:rPr>
                <w:rFonts w:ascii="Times New Roman" w:hAnsi="Times New Roman" w:cs="Times New Roman"/>
                <w:sz w:val="20"/>
                <w:szCs w:val="20"/>
              </w:rPr>
            </w:pPr>
            <w:r>
              <w:rPr>
                <w:rFonts w:ascii="Times New Roman" w:hAnsi="Times New Roman" w:cs="Times New Roman"/>
                <w:sz w:val="20"/>
                <w:szCs w:val="20"/>
              </w:rPr>
              <w:t>UE monitor PDCCH before the expiry. Value range 1-65536 PDCCH subframe.</w:t>
            </w:r>
          </w:p>
        </w:tc>
      </w:tr>
      <w:tr w:rsidR="00B26739">
        <w:trPr>
          <w:jc w:val="center"/>
        </w:trPr>
        <w:tc>
          <w:tcPr>
            <w:tcW w:w="672"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6</w:t>
            </w:r>
          </w:p>
        </w:tc>
        <w:tc>
          <w:tcPr>
            <w:tcW w:w="1747"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c-eDRX cycle</w:t>
            </w:r>
          </w:p>
        </w:tc>
        <w:tc>
          <w:tcPr>
            <w:tcW w:w="6931" w:type="dxa"/>
            <w:vAlign w:val="center"/>
          </w:tcPr>
          <w:p w:rsidR="00B26739" w:rsidRDefault="002125CB">
            <w:pPr>
              <w:jc w:val="left"/>
              <w:rPr>
                <w:rFonts w:ascii="Times New Roman" w:hAnsi="Times New Roman" w:cs="Times New Roman"/>
                <w:sz w:val="20"/>
                <w:szCs w:val="20"/>
              </w:rPr>
            </w:pPr>
            <w:r>
              <w:rPr>
                <w:rFonts w:ascii="Times New Roman" w:hAnsi="Times New Roman" w:cs="Times New Roman"/>
                <w:sz w:val="20"/>
                <w:szCs w:val="20"/>
              </w:rPr>
              <w:t>UE won’t monitor PDCCH at the expiry of on duration timer in each cycle. Value range 0.256-9.216s.</w:t>
            </w:r>
          </w:p>
        </w:tc>
      </w:tr>
      <w:tr w:rsidR="00B26739">
        <w:trPr>
          <w:jc w:val="center"/>
        </w:trPr>
        <w:tc>
          <w:tcPr>
            <w:tcW w:w="672"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7</w:t>
            </w:r>
          </w:p>
        </w:tc>
        <w:tc>
          <w:tcPr>
            <w:tcW w:w="1747" w:type="dxa"/>
            <w:vAlign w:val="center"/>
          </w:tcPr>
          <w:p w:rsidR="00B26739" w:rsidRDefault="002125CB">
            <w:pPr>
              <w:jc w:val="center"/>
              <w:rPr>
                <w:rFonts w:ascii="Times New Roman" w:hAnsi="Times New Roman" w:cs="Times New Roman"/>
                <w:sz w:val="20"/>
                <w:szCs w:val="20"/>
              </w:rPr>
            </w:pPr>
            <w:proofErr w:type="spellStart"/>
            <w:r>
              <w:rPr>
                <w:rFonts w:ascii="Times New Roman" w:hAnsi="Times New Roman" w:cs="Times New Roman"/>
                <w:sz w:val="20"/>
                <w:szCs w:val="20"/>
              </w:rPr>
              <w:t>i</w:t>
            </w:r>
            <w:proofErr w:type="spellEnd"/>
            <w:r>
              <w:rPr>
                <w:rFonts w:ascii="Times New Roman" w:hAnsi="Times New Roman" w:cs="Times New Roman"/>
                <w:sz w:val="20"/>
                <w:szCs w:val="20"/>
              </w:rPr>
              <w:t>-eDRX cycle</w:t>
            </w:r>
          </w:p>
        </w:tc>
        <w:tc>
          <w:tcPr>
            <w:tcW w:w="6931" w:type="dxa"/>
            <w:vAlign w:val="center"/>
          </w:tcPr>
          <w:p w:rsidR="00B26739" w:rsidRDefault="002125CB">
            <w:pPr>
              <w:jc w:val="left"/>
              <w:rPr>
                <w:rFonts w:ascii="Times New Roman" w:hAnsi="Times New Roman" w:cs="Times New Roman"/>
                <w:sz w:val="20"/>
                <w:szCs w:val="20"/>
              </w:rPr>
            </w:pPr>
            <w:r>
              <w:rPr>
                <w:rFonts w:ascii="Times New Roman" w:hAnsi="Times New Roman" w:cs="Times New Roman"/>
                <w:sz w:val="20"/>
                <w:szCs w:val="20"/>
              </w:rPr>
              <w:t>UE won’t perform paging at the expiry of paging time window in each cycle. Value range 20.48-10485.76s.</w:t>
            </w:r>
          </w:p>
        </w:tc>
      </w:tr>
      <w:tr w:rsidR="00B26739">
        <w:trPr>
          <w:jc w:val="center"/>
        </w:trPr>
        <w:tc>
          <w:tcPr>
            <w:tcW w:w="672"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8</w:t>
            </w:r>
          </w:p>
        </w:tc>
        <w:tc>
          <w:tcPr>
            <w:tcW w:w="1747" w:type="dxa"/>
            <w:vAlign w:val="center"/>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Paging time window</w:t>
            </w:r>
          </w:p>
        </w:tc>
        <w:tc>
          <w:tcPr>
            <w:tcW w:w="6931" w:type="dxa"/>
            <w:vAlign w:val="center"/>
          </w:tcPr>
          <w:p w:rsidR="00B26739" w:rsidRDefault="002125CB">
            <w:pPr>
              <w:jc w:val="left"/>
              <w:rPr>
                <w:rFonts w:ascii="Times New Roman" w:hAnsi="Times New Roman" w:cs="Times New Roman"/>
                <w:sz w:val="20"/>
                <w:szCs w:val="20"/>
              </w:rPr>
            </w:pPr>
            <w:r>
              <w:rPr>
                <w:rFonts w:ascii="Times New Roman" w:hAnsi="Times New Roman" w:cs="Times New Roman"/>
                <w:sz w:val="20"/>
                <w:szCs w:val="20"/>
              </w:rPr>
              <w:t>UE perform paging in the time window. Value range 2.56-40.96s.</w:t>
            </w:r>
          </w:p>
        </w:tc>
      </w:tr>
    </w:tbl>
    <w:p w:rsidR="00B26739" w:rsidRDefault="002125CB">
      <w:pPr>
        <w:adjustRightInd w:val="0"/>
        <w:snapToGrid w:val="0"/>
        <w:spacing w:beforeLines="50" w:before="120" w:line="240" w:lineRule="auto"/>
        <w:rPr>
          <w:rFonts w:ascii="Times New Roman" w:hAnsi="Times New Roman" w:cs="Times New Roman"/>
          <w:sz w:val="20"/>
          <w:szCs w:val="20"/>
        </w:rPr>
      </w:pPr>
      <w:r>
        <w:rPr>
          <w:rFonts w:ascii="Times New Roman" w:hAnsi="Times New Roman" w:cs="Times New Roman"/>
          <w:sz w:val="20"/>
          <w:szCs w:val="20"/>
        </w:rPr>
        <w:t xml:space="preserve">Moreover, following the methodology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_Ref14051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9E44F6">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the average power consumption of a UE is estimated by accumulating the time length of each state (it should be noticed that as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_Ref54080763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9E44F6" w:rsidRPr="009E44F6">
        <w:rPr>
          <w:rFonts w:ascii="Times New Roman" w:hAnsi="Times New Roman" w:cs="Times New Roman"/>
          <w:sz w:val="20"/>
          <w:szCs w:val="20"/>
        </w:rPr>
        <w:t>Figure 1</w:t>
      </w:r>
      <w:r>
        <w:rPr>
          <w:rFonts w:ascii="Times New Roman" w:hAnsi="Times New Roman" w:cs="Times New Roman"/>
          <w:sz w:val="20"/>
          <w:szCs w:val="20"/>
        </w:rPr>
        <w:fldChar w:fldCharType="end"/>
      </w:r>
      <w:r>
        <w:rPr>
          <w:rFonts w:ascii="Times New Roman" w:hAnsi="Times New Roman" w:cs="Times New Roman"/>
          <w:sz w:val="20"/>
          <w:szCs w:val="20"/>
        </w:rPr>
        <w:t xml:space="preserve">, a timer doesn’t mean that the UE will keep transmitting or receiving during the time window.). As example of power consumption estimation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_Ref54079769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9E44F6">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sz w:val="20"/>
          <w:szCs w:val="20"/>
        </w:rPr>
        <w:t xml:space="preserve">, the power consumption to report </w:t>
      </w:r>
      <w:r w:rsidR="009E44F6">
        <w:rPr>
          <w:rFonts w:ascii="Times New Roman" w:hAnsi="Times New Roman" w:cs="Times New Roman"/>
          <w:sz w:val="20"/>
          <w:szCs w:val="20"/>
        </w:rPr>
        <w:t>an</w:t>
      </w:r>
      <w:r>
        <w:rPr>
          <w:rFonts w:ascii="Times New Roman" w:hAnsi="Times New Roman" w:cs="Times New Roman"/>
          <w:sz w:val="20"/>
          <w:szCs w:val="20"/>
        </w:rPr>
        <w:t xml:space="preserve"> uplink packet of 50 bytes and 200 bytes are calculated with corresponding results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_Ref54079887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9E44F6" w:rsidRPr="009E44F6">
        <w:rPr>
          <w:rFonts w:ascii="Times New Roman" w:hAnsi="Times New Roman" w:cs="Times New Roman"/>
          <w:sz w:val="20"/>
          <w:szCs w:val="20"/>
        </w:rPr>
        <w:t>Table 2</w:t>
      </w:r>
      <w:r>
        <w:rPr>
          <w:rFonts w:ascii="Times New Roman" w:hAnsi="Times New Roman" w:cs="Times New Roman"/>
          <w:sz w:val="20"/>
          <w:szCs w:val="20"/>
        </w:rPr>
        <w:fldChar w:fldCharType="end"/>
      </w:r>
      <w:r>
        <w:rPr>
          <w:rFonts w:ascii="Times New Roman" w:hAnsi="Times New Roman" w:cs="Times New Roman"/>
          <w:sz w:val="20"/>
          <w:szCs w:val="20"/>
        </w:rPr>
        <w:t>.</w:t>
      </w:r>
    </w:p>
    <w:p w:rsidR="00B26739" w:rsidRDefault="002125CB">
      <w:pPr>
        <w:pStyle w:val="Caption"/>
        <w:keepNext/>
        <w:spacing w:beforeLines="50" w:before="120"/>
        <w:rPr>
          <w:b w:val="0"/>
        </w:rPr>
      </w:pPr>
      <w:bookmarkStart w:id="5" w:name="_Ref54079887"/>
      <w:r>
        <w:rPr>
          <w:b w:val="0"/>
        </w:rPr>
        <w:t xml:space="preserve">Table </w:t>
      </w:r>
      <w:r>
        <w:rPr>
          <w:b w:val="0"/>
        </w:rPr>
        <w:fldChar w:fldCharType="begin"/>
      </w:r>
      <w:r>
        <w:rPr>
          <w:b w:val="0"/>
        </w:rPr>
        <w:instrText xml:space="preserve"> SEQ Table \* ARABIC </w:instrText>
      </w:r>
      <w:r>
        <w:rPr>
          <w:b w:val="0"/>
        </w:rPr>
        <w:fldChar w:fldCharType="separate"/>
      </w:r>
      <w:r w:rsidR="009E44F6">
        <w:rPr>
          <w:b w:val="0"/>
          <w:noProof/>
        </w:rPr>
        <w:t>2</w:t>
      </w:r>
      <w:r>
        <w:rPr>
          <w:b w:val="0"/>
        </w:rPr>
        <w:fldChar w:fldCharType="end"/>
      </w:r>
      <w:bookmarkEnd w:id="5"/>
      <w:r>
        <w:rPr>
          <w:b w:val="0"/>
        </w:rPr>
        <w:t xml:space="preserve"> Examples for the energy consumption in CL of 164 dB </w:t>
      </w:r>
      <w:r>
        <w:rPr>
          <w:b w:val="0"/>
        </w:rPr>
        <w:fldChar w:fldCharType="begin"/>
      </w:r>
      <w:r>
        <w:rPr>
          <w:b w:val="0"/>
        </w:rPr>
        <w:instrText xml:space="preserve"> REF _Ref54079769 \r \h </w:instrText>
      </w:r>
      <w:r>
        <w:rPr>
          <w:b w:val="0"/>
        </w:rPr>
      </w:r>
      <w:r>
        <w:rPr>
          <w:b w:val="0"/>
        </w:rPr>
        <w:fldChar w:fldCharType="separate"/>
      </w:r>
      <w:r w:rsidR="009E44F6">
        <w:rPr>
          <w:b w:val="0"/>
        </w:rPr>
        <w:t>[4]</w:t>
      </w:r>
      <w:r>
        <w:rPr>
          <w:b w:val="0"/>
        </w:rPr>
        <w:fldChar w:fldCharType="end"/>
      </w:r>
    </w:p>
    <w:tbl>
      <w:tblPr>
        <w:tblW w:w="5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1953"/>
        <w:gridCol w:w="1953"/>
      </w:tblGrid>
      <w:tr w:rsidR="00B26739">
        <w:trPr>
          <w:trHeight w:val="407"/>
          <w:jc w:val="center"/>
        </w:trPr>
        <w:tc>
          <w:tcPr>
            <w:tcW w:w="1581" w:type="dxa"/>
            <w:tcBorders>
              <w:top w:val="nil"/>
              <w:left w:val="nil"/>
              <w:bottom w:val="single" w:sz="4" w:space="0" w:color="auto"/>
              <w:right w:val="single" w:sz="4" w:space="0" w:color="auto"/>
            </w:tcBorders>
            <w:shd w:val="clear" w:color="auto" w:fill="auto"/>
          </w:tcPr>
          <w:p w:rsidR="00B26739" w:rsidRDefault="00B26739">
            <w:pPr>
              <w:rPr>
                <w:rFonts w:ascii="Times New Roman" w:eastAsia="MS Mincho" w:hAnsi="Times New Roman" w:cs="Times New Roman"/>
                <w:color w:val="FF0000"/>
                <w:sz w:val="20"/>
                <w:szCs w:val="20"/>
              </w:rPr>
            </w:pPr>
          </w:p>
        </w:tc>
        <w:tc>
          <w:tcPr>
            <w:tcW w:w="1953" w:type="dxa"/>
            <w:shd w:val="clear" w:color="auto" w:fill="DBE5F1"/>
            <w:vAlign w:val="center"/>
          </w:tcPr>
          <w:p w:rsidR="00B26739" w:rsidRDefault="002125CB">
            <w:pPr>
              <w:jc w:val="center"/>
              <w:rPr>
                <w:rFonts w:ascii="Times New Roman" w:eastAsia="宋体" w:hAnsi="Times New Roman" w:cs="Times New Roman"/>
                <w:b/>
                <w:sz w:val="20"/>
                <w:szCs w:val="20"/>
              </w:rPr>
            </w:pPr>
            <w:r>
              <w:rPr>
                <w:rFonts w:ascii="Times New Roman" w:hAnsi="Times New Roman" w:cs="Times New Roman"/>
                <w:b/>
                <w:sz w:val="20"/>
                <w:szCs w:val="20"/>
              </w:rPr>
              <w:t>Time(ms)</w:t>
            </w:r>
          </w:p>
        </w:tc>
        <w:tc>
          <w:tcPr>
            <w:tcW w:w="1953" w:type="dxa"/>
            <w:shd w:val="clear" w:color="auto" w:fill="DBE5F1"/>
            <w:vAlign w:val="center"/>
          </w:tcPr>
          <w:p w:rsidR="00B26739" w:rsidRDefault="002125CB">
            <w:pPr>
              <w:jc w:val="center"/>
              <w:rPr>
                <w:rFonts w:ascii="Times New Roman" w:eastAsia="宋体" w:hAnsi="Times New Roman" w:cs="Times New Roman"/>
                <w:b/>
                <w:sz w:val="20"/>
                <w:szCs w:val="20"/>
              </w:rPr>
            </w:pPr>
            <w:r>
              <w:rPr>
                <w:rFonts w:ascii="Times New Roman" w:hAnsi="Times New Roman" w:cs="Times New Roman"/>
                <w:b/>
                <w:sz w:val="20"/>
                <w:szCs w:val="20"/>
              </w:rPr>
              <w:t>Power(</w:t>
            </w:r>
            <w:proofErr w:type="spellStart"/>
            <w:r>
              <w:rPr>
                <w:rFonts w:ascii="Times New Roman" w:hAnsi="Times New Roman" w:cs="Times New Roman"/>
                <w:b/>
                <w:sz w:val="20"/>
                <w:szCs w:val="20"/>
              </w:rPr>
              <w:t>mJ</w:t>
            </w:r>
            <w:proofErr w:type="spellEnd"/>
            <w:r>
              <w:rPr>
                <w:rFonts w:ascii="Times New Roman" w:hAnsi="Times New Roman" w:cs="Times New Roman"/>
                <w:b/>
                <w:sz w:val="20"/>
                <w:szCs w:val="20"/>
              </w:rPr>
              <w:t>)</w:t>
            </w:r>
          </w:p>
        </w:tc>
      </w:tr>
      <w:tr w:rsidR="00B26739">
        <w:trPr>
          <w:jc w:val="center"/>
        </w:trPr>
        <w:tc>
          <w:tcPr>
            <w:tcW w:w="1581" w:type="dxa"/>
            <w:tcBorders>
              <w:top w:val="single" w:sz="4" w:space="0" w:color="auto"/>
              <w:bottom w:val="single" w:sz="4" w:space="0" w:color="auto"/>
            </w:tcBorders>
            <w:vAlign w:val="center"/>
          </w:tcPr>
          <w:p w:rsidR="00B26739" w:rsidRDefault="002125CB">
            <w:pPr>
              <w:jc w:val="center"/>
              <w:rPr>
                <w:rFonts w:ascii="Times New Roman" w:eastAsia="MS Mincho" w:hAnsi="Times New Roman" w:cs="Times New Roman"/>
                <w:sz w:val="20"/>
                <w:szCs w:val="20"/>
              </w:rPr>
            </w:pPr>
            <w:r>
              <w:rPr>
                <w:rFonts w:ascii="Times New Roman" w:eastAsia="MS Mincho" w:hAnsi="Times New Roman" w:cs="Times New Roman"/>
                <w:sz w:val="20"/>
                <w:szCs w:val="20"/>
              </w:rPr>
              <w:t>Tx (50 bytes)</w:t>
            </w:r>
          </w:p>
        </w:tc>
        <w:tc>
          <w:tcPr>
            <w:tcW w:w="1953" w:type="dxa"/>
            <w:vAlign w:val="bottom"/>
          </w:tcPr>
          <w:p w:rsidR="00B26739" w:rsidRDefault="002125CB">
            <w:pPr>
              <w:jc w:val="center"/>
              <w:rPr>
                <w:rFonts w:ascii="Times New Roman" w:hAnsi="Times New Roman" w:cs="Times New Roman"/>
                <w:color w:val="000000"/>
                <w:sz w:val="20"/>
                <w:szCs w:val="20"/>
              </w:rPr>
            </w:pPr>
            <w:r>
              <w:rPr>
                <w:rFonts w:ascii="Times New Roman" w:hAnsi="Times New Roman" w:cs="Times New Roman"/>
                <w:color w:val="000000"/>
                <w:sz w:val="20"/>
                <w:szCs w:val="20"/>
              </w:rPr>
              <w:t>1752</w:t>
            </w:r>
          </w:p>
        </w:tc>
        <w:tc>
          <w:tcPr>
            <w:tcW w:w="1953" w:type="dxa"/>
            <w:vAlign w:val="bottom"/>
          </w:tcPr>
          <w:p w:rsidR="00B26739" w:rsidRDefault="002125CB">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954.84</w:t>
            </w:r>
          </w:p>
        </w:tc>
      </w:tr>
      <w:tr w:rsidR="00B26739">
        <w:trPr>
          <w:jc w:val="center"/>
        </w:trPr>
        <w:tc>
          <w:tcPr>
            <w:tcW w:w="1581" w:type="dxa"/>
            <w:tcBorders>
              <w:top w:val="single" w:sz="4" w:space="0" w:color="auto"/>
              <w:bottom w:val="single" w:sz="4" w:space="0" w:color="auto"/>
            </w:tcBorders>
            <w:vAlign w:val="center"/>
          </w:tcPr>
          <w:p w:rsidR="00B26739" w:rsidRDefault="002125CB">
            <w:pPr>
              <w:jc w:val="center"/>
              <w:rPr>
                <w:rFonts w:ascii="Times New Roman" w:eastAsia="MS Mincho" w:hAnsi="Times New Roman" w:cs="Times New Roman"/>
                <w:sz w:val="20"/>
                <w:szCs w:val="20"/>
              </w:rPr>
            </w:pPr>
            <w:r>
              <w:rPr>
                <w:rFonts w:ascii="Times New Roman" w:eastAsia="MS Mincho" w:hAnsi="Times New Roman" w:cs="Times New Roman"/>
                <w:sz w:val="20"/>
                <w:szCs w:val="20"/>
              </w:rPr>
              <w:t>Tx (200 bytes)</w:t>
            </w:r>
          </w:p>
        </w:tc>
        <w:tc>
          <w:tcPr>
            <w:tcW w:w="1953" w:type="dxa"/>
            <w:vAlign w:val="bottom"/>
          </w:tcPr>
          <w:p w:rsidR="00B26739" w:rsidRDefault="002125CB">
            <w:pPr>
              <w:jc w:val="center"/>
              <w:rPr>
                <w:rFonts w:ascii="Times New Roman" w:hAnsi="Times New Roman" w:cs="Times New Roman"/>
                <w:color w:val="000000"/>
                <w:sz w:val="20"/>
                <w:szCs w:val="20"/>
              </w:rPr>
            </w:pPr>
            <w:r>
              <w:rPr>
                <w:rFonts w:ascii="Times New Roman" w:hAnsi="Times New Roman" w:cs="Times New Roman"/>
                <w:color w:val="000000"/>
                <w:sz w:val="20"/>
                <w:szCs w:val="20"/>
              </w:rPr>
              <w:t>4608</w:t>
            </w:r>
          </w:p>
        </w:tc>
        <w:tc>
          <w:tcPr>
            <w:tcW w:w="1953" w:type="dxa"/>
            <w:vAlign w:val="bottom"/>
          </w:tcPr>
          <w:p w:rsidR="00B26739" w:rsidRDefault="002125CB">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2511.36</w:t>
            </w:r>
          </w:p>
        </w:tc>
      </w:tr>
      <w:tr w:rsidR="00B26739">
        <w:trPr>
          <w:jc w:val="center"/>
        </w:trPr>
        <w:tc>
          <w:tcPr>
            <w:tcW w:w="1581" w:type="dxa"/>
            <w:tcBorders>
              <w:top w:val="single" w:sz="4" w:space="0" w:color="auto"/>
              <w:bottom w:val="single" w:sz="4" w:space="0" w:color="auto"/>
            </w:tcBorders>
            <w:vAlign w:val="center"/>
          </w:tcPr>
          <w:p w:rsidR="00B26739" w:rsidRDefault="002125CB">
            <w:pPr>
              <w:jc w:val="center"/>
              <w:rPr>
                <w:rFonts w:ascii="Times New Roman" w:eastAsia="MS Mincho" w:hAnsi="Times New Roman" w:cs="Times New Roman"/>
                <w:sz w:val="20"/>
                <w:szCs w:val="20"/>
              </w:rPr>
            </w:pPr>
            <w:r>
              <w:rPr>
                <w:rFonts w:ascii="Times New Roman" w:eastAsia="MS Mincho" w:hAnsi="Times New Roman" w:cs="Times New Roman"/>
                <w:sz w:val="20"/>
                <w:szCs w:val="20"/>
              </w:rPr>
              <w:t>Rx</w:t>
            </w:r>
          </w:p>
        </w:tc>
        <w:tc>
          <w:tcPr>
            <w:tcW w:w="1953" w:type="dxa"/>
            <w:vAlign w:val="bottom"/>
          </w:tcPr>
          <w:p w:rsidR="00B26739" w:rsidRDefault="002125CB">
            <w:pPr>
              <w:jc w:val="center"/>
              <w:rPr>
                <w:rFonts w:ascii="Times New Roman" w:hAnsi="Times New Roman" w:cs="Times New Roman"/>
                <w:color w:val="000000"/>
                <w:sz w:val="20"/>
                <w:szCs w:val="20"/>
              </w:rPr>
            </w:pPr>
            <w:r>
              <w:rPr>
                <w:rFonts w:ascii="Times New Roman" w:hAnsi="Times New Roman" w:cs="Times New Roman"/>
                <w:color w:val="000000"/>
                <w:sz w:val="20"/>
                <w:szCs w:val="20"/>
              </w:rPr>
              <w:t>2257</w:t>
            </w:r>
          </w:p>
        </w:tc>
        <w:tc>
          <w:tcPr>
            <w:tcW w:w="1953" w:type="dxa"/>
            <w:vAlign w:val="bottom"/>
          </w:tcPr>
          <w:p w:rsidR="00B26739" w:rsidRDefault="002125CB">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203.13</w:t>
            </w:r>
          </w:p>
        </w:tc>
      </w:tr>
      <w:tr w:rsidR="00B26739">
        <w:trPr>
          <w:jc w:val="center"/>
        </w:trPr>
        <w:tc>
          <w:tcPr>
            <w:tcW w:w="1581" w:type="dxa"/>
            <w:tcBorders>
              <w:top w:val="single" w:sz="4" w:space="0" w:color="auto"/>
            </w:tcBorders>
            <w:vAlign w:val="center"/>
          </w:tcPr>
          <w:p w:rsidR="00B26739" w:rsidRDefault="002125CB">
            <w:pPr>
              <w:jc w:val="center"/>
              <w:rPr>
                <w:rFonts w:ascii="Times New Roman" w:eastAsia="MS Mincho" w:hAnsi="Times New Roman" w:cs="Times New Roman"/>
                <w:sz w:val="20"/>
                <w:szCs w:val="20"/>
              </w:rPr>
            </w:pPr>
            <w:r>
              <w:rPr>
                <w:rFonts w:ascii="Times New Roman" w:eastAsia="MS Mincho" w:hAnsi="Times New Roman" w:cs="Times New Roman"/>
                <w:sz w:val="20"/>
                <w:szCs w:val="20"/>
              </w:rPr>
              <w:t>Idle</w:t>
            </w:r>
          </w:p>
        </w:tc>
        <w:tc>
          <w:tcPr>
            <w:tcW w:w="1953" w:type="dxa"/>
            <w:vAlign w:val="bottom"/>
          </w:tcPr>
          <w:p w:rsidR="00B26739" w:rsidRDefault="002125CB">
            <w:pPr>
              <w:jc w:val="center"/>
              <w:rPr>
                <w:rFonts w:ascii="Times New Roman" w:eastAsia="MS Mincho" w:hAnsi="Times New Roman" w:cs="Times New Roman"/>
                <w:color w:val="000000"/>
                <w:sz w:val="20"/>
                <w:szCs w:val="20"/>
              </w:rPr>
            </w:pPr>
            <w:r>
              <w:rPr>
                <w:rFonts w:ascii="Times New Roman" w:hAnsi="Times New Roman" w:cs="Times New Roman"/>
                <w:color w:val="000000"/>
                <w:sz w:val="20"/>
                <w:szCs w:val="20"/>
              </w:rPr>
              <w:t>23085</w:t>
            </w:r>
          </w:p>
        </w:tc>
        <w:tc>
          <w:tcPr>
            <w:tcW w:w="1953" w:type="dxa"/>
            <w:vAlign w:val="bottom"/>
          </w:tcPr>
          <w:p w:rsidR="00B26739" w:rsidRDefault="002125CB">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69.255</w:t>
            </w:r>
          </w:p>
        </w:tc>
      </w:tr>
    </w:tbl>
    <w:p w:rsidR="00B26739" w:rsidRDefault="002125CB">
      <w:pPr>
        <w:spacing w:beforeLines="50" w:before="120" w:line="240" w:lineRule="auto"/>
        <w:rPr>
          <w:rFonts w:ascii="Times New Roman" w:hAnsi="Times New Roman" w:cs="Times New Roman"/>
          <w:sz w:val="20"/>
          <w:szCs w:val="20"/>
        </w:rPr>
      </w:pPr>
      <w:r>
        <w:rPr>
          <w:rFonts w:ascii="Times New Roman" w:hAnsi="Times New Roman" w:cs="Times New Roman"/>
          <w:sz w:val="20"/>
          <w:szCs w:val="20"/>
        </w:rPr>
        <w:t xml:space="preserve">It can be found that within the analysis, impacts due to the traffic model, configuration of timer and repetition number should be considered for each CL (coupling loss) assumption. Then, for IoT-NTN, in order to achieve the accurate estimation on power consumption, same methodology should be followed with corresponding parameters according to the link budget for NB-IoT over NTN needs as well as the traffic model (which is related to the target commercial usage of this new scenario). </w:t>
      </w:r>
    </w:p>
    <w:p w:rsidR="009B429D" w:rsidRDefault="009B429D" w:rsidP="009B429D">
      <w:pPr>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eastAsia="宋体" w:hAnsi="Times New Roman"/>
          <w:i/>
          <w:sz w:val="20"/>
          <w:szCs w:val="20"/>
        </w:rPr>
        <w:t xml:space="preserve">The methodology in </w:t>
      </w:r>
      <w:r>
        <w:rPr>
          <w:rFonts w:ascii="Times New Roman" w:eastAsia="宋体" w:hAnsi="Times New Roman"/>
          <w:i/>
          <w:sz w:val="20"/>
          <w:szCs w:val="20"/>
        </w:rPr>
        <w:fldChar w:fldCharType="begin"/>
      </w:r>
      <w:r>
        <w:rPr>
          <w:rFonts w:ascii="Times New Roman" w:eastAsia="宋体" w:hAnsi="Times New Roman"/>
          <w:i/>
          <w:sz w:val="20"/>
          <w:szCs w:val="20"/>
        </w:rPr>
        <w:instrText xml:space="preserve"> REF _Ref14051 \r \h </w:instrText>
      </w:r>
      <w:r>
        <w:rPr>
          <w:rFonts w:ascii="Times New Roman" w:eastAsia="宋体" w:hAnsi="Times New Roman"/>
          <w:i/>
          <w:sz w:val="20"/>
          <w:szCs w:val="20"/>
        </w:rPr>
      </w:r>
      <w:r>
        <w:rPr>
          <w:rFonts w:ascii="Times New Roman" w:eastAsia="宋体" w:hAnsi="Times New Roman"/>
          <w:i/>
          <w:sz w:val="20"/>
          <w:szCs w:val="20"/>
        </w:rPr>
        <w:fldChar w:fldCharType="separate"/>
      </w:r>
      <w:r>
        <w:rPr>
          <w:rFonts w:ascii="Times New Roman" w:eastAsia="宋体" w:hAnsi="Times New Roman"/>
          <w:i/>
          <w:sz w:val="20"/>
          <w:szCs w:val="20"/>
        </w:rPr>
        <w:t>[2]</w:t>
      </w:r>
      <w:r>
        <w:rPr>
          <w:rFonts w:ascii="Times New Roman" w:eastAsia="宋体" w:hAnsi="Times New Roman"/>
          <w:i/>
          <w:sz w:val="20"/>
          <w:szCs w:val="20"/>
        </w:rPr>
        <w:fldChar w:fldCharType="end"/>
      </w:r>
      <w:r>
        <w:rPr>
          <w:rFonts w:ascii="Times New Roman" w:eastAsia="宋体" w:hAnsi="Times New Roman"/>
          <w:i/>
          <w:sz w:val="20"/>
          <w:szCs w:val="20"/>
        </w:rPr>
        <w:t xml:space="preserve"> for power consumption evaluation </w:t>
      </w:r>
      <w:r>
        <w:rPr>
          <w:rFonts w:ascii="Times New Roman" w:eastAsia="宋体" w:hAnsi="Times New Roman"/>
          <w:bCs/>
          <w:i/>
          <w:sz w:val="20"/>
          <w:szCs w:val="20"/>
        </w:rPr>
        <w:t xml:space="preserve">with the updated parameters, e.g., </w:t>
      </w:r>
      <w:r>
        <w:rPr>
          <w:rFonts w:ascii="Times New Roman" w:eastAsia="宋体" w:hAnsi="Times New Roman" w:hint="eastAsia"/>
          <w:bCs/>
          <w:i/>
          <w:sz w:val="20"/>
          <w:szCs w:val="20"/>
        </w:rPr>
        <w:t>link budget, traffic model</w:t>
      </w:r>
      <w:r>
        <w:rPr>
          <w:rFonts w:ascii="Times New Roman" w:eastAsia="宋体" w:hAnsi="Times New Roman"/>
          <w:bCs/>
          <w:i/>
          <w:sz w:val="20"/>
          <w:szCs w:val="20"/>
        </w:rPr>
        <w:t xml:space="preserve">, should be taken as baseline for </w:t>
      </w:r>
      <w:r>
        <w:rPr>
          <w:rFonts w:ascii="Times New Roman" w:eastAsia="宋体" w:hAnsi="Times New Roman" w:hint="eastAsia"/>
          <w:bCs/>
          <w:i/>
          <w:sz w:val="20"/>
          <w:szCs w:val="20"/>
        </w:rPr>
        <w:t>IoT over NTN</w:t>
      </w:r>
    </w:p>
    <w:p w:rsidR="00B26739" w:rsidRDefault="002125CB">
      <w:pPr>
        <w:pStyle w:val="Heading2"/>
        <w:numPr>
          <w:ilvl w:val="1"/>
          <w:numId w:val="5"/>
        </w:numPr>
        <w:rPr>
          <w:rFonts w:ascii="Times New Roman" w:eastAsia="宋体" w:hAnsi="Times New Roman" w:cs="Times New Roman"/>
          <w:b/>
          <w:bCs/>
          <w:sz w:val="24"/>
          <w:szCs w:val="24"/>
          <w:lang w:val="en-US"/>
        </w:rPr>
      </w:pPr>
      <w:bookmarkStart w:id="6" w:name="_GoBack"/>
      <w:bookmarkEnd w:id="6"/>
      <w:r>
        <w:rPr>
          <w:rFonts w:ascii="Times New Roman" w:eastAsia="宋体" w:hAnsi="Times New Roman" w:cs="Times New Roman" w:hint="eastAsia"/>
          <w:b/>
          <w:bCs/>
          <w:sz w:val="24"/>
          <w:szCs w:val="24"/>
          <w:lang w:val="en-US"/>
        </w:rPr>
        <w:t>Power consumption of GNSS</w:t>
      </w:r>
    </w:p>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In addition to the previous aspects for power consumption analysis, i</w:t>
      </w:r>
      <w:r>
        <w:rPr>
          <w:rFonts w:ascii="Times New Roman" w:eastAsia="宋体" w:hAnsi="Times New Roman" w:cs="Times New Roman" w:hint="eastAsia"/>
          <w:sz w:val="20"/>
          <w:szCs w:val="20"/>
        </w:rPr>
        <w:t xml:space="preserve">n </w:t>
      </w:r>
      <w:r>
        <w:rPr>
          <w:rFonts w:ascii="Times New Roman" w:eastAsia="宋体" w:hAnsi="Times New Roman" w:cs="Times New Roman"/>
          <w:sz w:val="20"/>
          <w:szCs w:val="20"/>
        </w:rPr>
        <w:t>this SI</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the GNSS-capable UE is assumed to enable the pre-compensation for UL transmission, which is also needed for DL reception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_Ref54111396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9E44F6">
        <w:rPr>
          <w:rFonts w:ascii="Times New Roman" w:eastAsia="宋体" w:hAnsi="Times New Roman" w:cs="Times New Roman"/>
          <w:sz w:val="20"/>
          <w:szCs w:val="20"/>
        </w:rPr>
        <w:t>[5]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In this way, t</w:t>
      </w:r>
      <w:r>
        <w:rPr>
          <w:rFonts w:ascii="Times New Roman" w:eastAsia="宋体" w:hAnsi="Times New Roman" w:cs="Times New Roman" w:hint="eastAsia"/>
          <w:sz w:val="20"/>
          <w:szCs w:val="20"/>
        </w:rPr>
        <w:t xml:space="preserve">he UE </w:t>
      </w:r>
      <w:r>
        <w:rPr>
          <w:rFonts w:ascii="Times New Roman" w:eastAsia="宋体" w:hAnsi="Times New Roman" w:cs="Times New Roman" w:hint="eastAsia"/>
          <w:sz w:val="20"/>
          <w:szCs w:val="20"/>
        </w:rPr>
        <w:lastRenderedPageBreak/>
        <w:t xml:space="preserve">needs to estimate its position or calibrate its clock based on its GNSS implementation. </w:t>
      </w:r>
      <w:r>
        <w:rPr>
          <w:rFonts w:ascii="Times New Roman" w:eastAsia="宋体" w:hAnsi="Times New Roman" w:cs="Times New Roman"/>
          <w:sz w:val="20"/>
          <w:szCs w:val="20"/>
        </w:rPr>
        <w:t xml:space="preserve">Then, corresponding </w:t>
      </w:r>
      <w:r>
        <w:rPr>
          <w:rFonts w:ascii="Times New Roman" w:eastAsia="宋体" w:hAnsi="Times New Roman" w:cs="Times New Roman" w:hint="eastAsia"/>
          <w:sz w:val="20"/>
          <w:szCs w:val="20"/>
        </w:rPr>
        <w:t xml:space="preserve">power consumption of GNSS </w:t>
      </w:r>
      <w:r>
        <w:rPr>
          <w:rFonts w:ascii="Times New Roman" w:eastAsia="宋体" w:hAnsi="Times New Roman" w:cs="Times New Roman"/>
          <w:sz w:val="20"/>
          <w:szCs w:val="20"/>
        </w:rPr>
        <w:t>should also be taken into account. I</w:t>
      </w:r>
      <w:r>
        <w:rPr>
          <w:rFonts w:ascii="Times New Roman" w:eastAsia="宋体" w:hAnsi="Times New Roman" w:cs="Times New Roman" w:hint="eastAsia"/>
          <w:sz w:val="20"/>
          <w:szCs w:val="20"/>
        </w:rPr>
        <w:t xml:space="preserve">n this section the </w:t>
      </w:r>
      <w:r>
        <w:rPr>
          <w:rFonts w:ascii="Times New Roman" w:eastAsia="宋体" w:hAnsi="Times New Roman" w:cs="Times New Roman"/>
          <w:sz w:val="20"/>
          <w:szCs w:val="20"/>
        </w:rPr>
        <w:t xml:space="preserve">reception of </w:t>
      </w:r>
      <w:r>
        <w:rPr>
          <w:rFonts w:ascii="Times New Roman" w:eastAsia="宋体" w:hAnsi="Times New Roman" w:cs="Times New Roman" w:hint="eastAsia"/>
          <w:sz w:val="20"/>
          <w:szCs w:val="20"/>
        </w:rPr>
        <w:t>GPS is considered as the example</w:t>
      </w:r>
      <w:r>
        <w:rPr>
          <w:rFonts w:ascii="Times New Roman" w:eastAsia="宋体" w:hAnsi="Times New Roman" w:cs="Times New Roman"/>
          <w:sz w:val="20"/>
          <w:szCs w:val="20"/>
        </w:rPr>
        <w:t xml:space="preserve"> for detailed analysis.</w:t>
      </w:r>
    </w:p>
    <w:p w:rsidR="00B26739" w:rsidRDefault="002125CB">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GPS signal consists of three components, i.e., C/A code, P code and navigation </w:t>
      </w:r>
      <w:r>
        <w:rPr>
          <w:rFonts w:ascii="Times New Roman" w:eastAsia="宋体" w:hAnsi="Times New Roman" w:cs="Times New Roman"/>
          <w:sz w:val="20"/>
          <w:szCs w:val="20"/>
        </w:rPr>
        <w:t xml:space="preserve">message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_Ref29700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9E44F6">
        <w:rPr>
          <w:rFonts w:ascii="Times New Roman" w:eastAsia="宋体" w:hAnsi="Times New Roman" w:cs="Times New Roman"/>
          <w:sz w:val="20"/>
          <w:szCs w:val="20"/>
        </w:rPr>
        <w:t>[6]</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Usually, a</w:t>
      </w:r>
      <w:r>
        <w:rPr>
          <w:rFonts w:ascii="Times New Roman" w:eastAsia="宋体" w:hAnsi="Times New Roman" w:cs="Times New Roman" w:hint="eastAsia"/>
          <w:sz w:val="20"/>
          <w:szCs w:val="20"/>
        </w:rPr>
        <w:t xml:space="preserve">n UE is expected to perform positioning or timing based on the </w:t>
      </w:r>
      <w:r>
        <w:rPr>
          <w:rFonts w:ascii="Times New Roman" w:eastAsia="宋体" w:hAnsi="Times New Roman" w:cs="Times New Roman"/>
          <w:sz w:val="20"/>
          <w:szCs w:val="20"/>
        </w:rPr>
        <w:t xml:space="preserve">reception of </w:t>
      </w:r>
      <w:r>
        <w:rPr>
          <w:rFonts w:ascii="Times New Roman" w:eastAsia="宋体" w:hAnsi="Times New Roman" w:cs="Times New Roman" w:hint="eastAsia"/>
          <w:sz w:val="20"/>
          <w:szCs w:val="20"/>
        </w:rPr>
        <w:t>C/A code and navigation message</w:t>
      </w:r>
      <w:r>
        <w:rPr>
          <w:rFonts w:ascii="Times New Roman" w:eastAsia="宋体" w:hAnsi="Times New Roman" w:cs="Times New Roman"/>
          <w:sz w:val="20"/>
          <w:szCs w:val="20"/>
        </w:rPr>
        <w:t xml:space="preserve"> as defined below:</w:t>
      </w:r>
    </w:p>
    <w:p w:rsidR="00B26739" w:rsidRDefault="002125CB">
      <w:pPr>
        <w:pStyle w:val="ListParagraph"/>
        <w:numPr>
          <w:ilvl w:val="0"/>
          <w:numId w:val="6"/>
        </w:numPr>
        <w:ind w:firstLineChars="0"/>
        <w:rPr>
          <w:rFonts w:ascii="Times New Roman" w:eastAsia="宋体" w:hAnsi="Times New Roman" w:cs="Times New Roman"/>
          <w:sz w:val="20"/>
          <w:szCs w:val="20"/>
        </w:rPr>
      </w:pPr>
      <w:r>
        <w:rPr>
          <w:rFonts w:ascii="Times New Roman" w:eastAsia="宋体" w:hAnsi="Times New Roman" w:cs="Times New Roman" w:hint="eastAsia"/>
          <w:b/>
          <w:bCs/>
          <w:sz w:val="20"/>
          <w:szCs w:val="20"/>
        </w:rPr>
        <w:t xml:space="preserve">C/A code: </w:t>
      </w:r>
      <w:r>
        <w:rPr>
          <w:rFonts w:ascii="Times New Roman" w:eastAsia="宋体" w:hAnsi="Times New Roman" w:cs="Times New Roman" w:hint="eastAsia"/>
          <w:sz w:val="20"/>
          <w:szCs w:val="20"/>
        </w:rPr>
        <w:t>Every satellite has its own C/A code</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And i</w:t>
      </w:r>
      <w:r>
        <w:rPr>
          <w:rFonts w:ascii="Times New Roman" w:eastAsia="宋体" w:hAnsi="Times New Roman" w:cs="Times New Roman" w:hint="eastAsia"/>
          <w:sz w:val="20"/>
          <w:szCs w:val="20"/>
        </w:rPr>
        <w:t xml:space="preserve">t is a gold code of length 1023 with chip rate of 1.023 </w:t>
      </w:r>
      <w:r>
        <w:rPr>
          <w:rFonts w:ascii="Times New Roman" w:eastAsia="宋体" w:hAnsi="Times New Roman" w:cs="Times New Roman"/>
          <w:sz w:val="20"/>
          <w:szCs w:val="20"/>
        </w:rPr>
        <w:t>MHz</w:t>
      </w:r>
    </w:p>
    <w:p w:rsidR="00B26739" w:rsidRDefault="002125CB">
      <w:pPr>
        <w:pStyle w:val="ListParagraph"/>
        <w:numPr>
          <w:ilvl w:val="0"/>
          <w:numId w:val="6"/>
        </w:numPr>
        <w:ind w:firstLineChars="0"/>
        <w:rPr>
          <w:rFonts w:ascii="Times New Roman" w:eastAsia="宋体" w:hAnsi="Times New Roman" w:cs="Times New Roman"/>
          <w:sz w:val="20"/>
          <w:szCs w:val="20"/>
        </w:rPr>
      </w:pPr>
      <w:r>
        <w:rPr>
          <w:rFonts w:ascii="Times New Roman" w:eastAsia="宋体" w:hAnsi="Times New Roman" w:cs="Times New Roman" w:hint="eastAsia"/>
          <w:b/>
          <w:bCs/>
          <w:sz w:val="20"/>
          <w:szCs w:val="20"/>
        </w:rPr>
        <w:t>Navigation message:</w:t>
      </w:r>
      <w:r>
        <w:rPr>
          <w:rFonts w:ascii="Times New Roman" w:eastAsia="宋体" w:hAnsi="Times New Roman" w:cs="Times New Roman" w:hint="eastAsia"/>
          <w:sz w:val="20"/>
          <w:szCs w:val="20"/>
        </w:rPr>
        <w:t xml:space="preserve"> It includes the GPS time, ephemeris of this satellite and almanac for the whole satellite network. The structure of navigation message is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w:instrText>
      </w:r>
      <w:r>
        <w:rPr>
          <w:rFonts w:ascii="Times New Roman" w:eastAsia="宋体" w:hAnsi="Times New Roman" w:cs="Times New Roman" w:hint="eastAsia"/>
          <w:sz w:val="20"/>
          <w:szCs w:val="20"/>
        </w:rPr>
        <w:instrText>REF _Ref54080721 \h</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9E44F6" w:rsidRPr="009E44F6">
        <w:rPr>
          <w:rFonts w:ascii="Times New Roman" w:eastAsia="宋体"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w:t>
      </w:r>
    </w:p>
    <w:p w:rsidR="00B26739" w:rsidRDefault="002125CB">
      <w:pPr>
        <w:keepNext/>
        <w:jc w:val="center"/>
      </w:pPr>
      <w:r>
        <w:rPr>
          <w:rFonts w:ascii="宋体" w:eastAsia="宋体" w:hAnsi="宋体" w:cs="宋体"/>
          <w:noProof/>
          <w:sz w:val="24"/>
          <w:szCs w:val="24"/>
        </w:rPr>
        <w:drawing>
          <wp:inline distT="0" distB="0" distL="114300" distR="114300">
            <wp:extent cx="4339590" cy="2806700"/>
            <wp:effectExtent l="0" t="0" r="3810" b="0"/>
            <wp:docPr id="5" name="图片 5" descr="GPS_Frame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GPS_FrameStructure"/>
                    <pic:cNvPicPr>
                      <a:picLocks noChangeAspect="1"/>
                    </pic:cNvPicPr>
                  </pic:nvPicPr>
                  <pic:blipFill>
                    <a:blip r:embed="rId8"/>
                    <a:stretch>
                      <a:fillRect/>
                    </a:stretch>
                  </pic:blipFill>
                  <pic:spPr>
                    <a:xfrm>
                      <a:off x="0" y="0"/>
                      <a:ext cx="4346612" cy="2811647"/>
                    </a:xfrm>
                    <a:prstGeom prst="rect">
                      <a:avLst/>
                    </a:prstGeom>
                  </pic:spPr>
                </pic:pic>
              </a:graphicData>
            </a:graphic>
          </wp:inline>
        </w:drawing>
      </w:r>
    </w:p>
    <w:p w:rsidR="00B26739" w:rsidRDefault="002125CB">
      <w:pPr>
        <w:pStyle w:val="Caption"/>
        <w:rPr>
          <w:rFonts w:ascii="宋体" w:hAnsi="宋体" w:cs="宋体"/>
          <w:b w:val="0"/>
          <w:sz w:val="24"/>
          <w:szCs w:val="24"/>
        </w:rPr>
      </w:pPr>
      <w:bookmarkStart w:id="7" w:name="_Ref54080721"/>
      <w:r>
        <w:rPr>
          <w:b w:val="0"/>
        </w:rPr>
        <w:t xml:space="preserve">Figure </w:t>
      </w:r>
      <w:r>
        <w:rPr>
          <w:b w:val="0"/>
        </w:rPr>
        <w:fldChar w:fldCharType="begin"/>
      </w:r>
      <w:r>
        <w:rPr>
          <w:b w:val="0"/>
        </w:rPr>
        <w:instrText xml:space="preserve"> SEQ Figure \* ARABIC </w:instrText>
      </w:r>
      <w:r>
        <w:rPr>
          <w:b w:val="0"/>
        </w:rPr>
        <w:fldChar w:fldCharType="separate"/>
      </w:r>
      <w:r w:rsidR="009E44F6">
        <w:rPr>
          <w:b w:val="0"/>
          <w:noProof/>
        </w:rPr>
        <w:t>2</w:t>
      </w:r>
      <w:r>
        <w:rPr>
          <w:b w:val="0"/>
        </w:rPr>
        <w:fldChar w:fldCharType="end"/>
      </w:r>
      <w:bookmarkEnd w:id="7"/>
      <w:r>
        <w:rPr>
          <w:b w:val="0"/>
        </w:rPr>
        <w:t xml:space="preserve"> </w:t>
      </w:r>
      <w:proofErr w:type="gramStart"/>
      <w:r>
        <w:rPr>
          <w:b w:val="0"/>
        </w:rPr>
        <w:t>The</w:t>
      </w:r>
      <w:proofErr w:type="gramEnd"/>
      <w:r>
        <w:rPr>
          <w:b w:val="0"/>
        </w:rPr>
        <w:t xml:space="preserve"> structure of navigation message</w:t>
      </w:r>
    </w:p>
    <w:p w:rsidR="00B26739" w:rsidRDefault="002125CB">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ephemeris has the validity time of 4 hours and the almanac has the validity time of 160 days. A UE needs to measure its distance to the GPS satellites based on valid ephemeris and C/A code. The measurement time will be short if the UE already has valid ephemeris in memory. According to the knowledge of the UE, </w:t>
      </w:r>
      <w:r>
        <w:rPr>
          <w:rFonts w:ascii="Times New Roman" w:eastAsia="宋体" w:hAnsi="Times New Roman" w:cs="Times New Roman"/>
          <w:sz w:val="20"/>
          <w:szCs w:val="20"/>
        </w:rPr>
        <w:t xml:space="preserve">different time consumption is required to get </w:t>
      </w:r>
      <w:r>
        <w:rPr>
          <w:rFonts w:ascii="Times New Roman" w:eastAsia="宋体" w:hAnsi="Times New Roman" w:cs="Times New Roman" w:hint="eastAsia"/>
          <w:sz w:val="20"/>
          <w:szCs w:val="20"/>
        </w:rPr>
        <w:t xml:space="preserve">a </w:t>
      </w:r>
      <w:r>
        <w:rPr>
          <w:rFonts w:ascii="Times New Roman" w:eastAsia="宋体" w:hAnsi="Times New Roman" w:cs="Times New Roman"/>
          <w:sz w:val="20"/>
          <w:szCs w:val="20"/>
        </w:rPr>
        <w:t xml:space="preserve">UE </w:t>
      </w:r>
      <w:r>
        <w:rPr>
          <w:rFonts w:ascii="Times New Roman" w:eastAsia="宋体" w:hAnsi="Times New Roman" w:cs="Times New Roman" w:hint="eastAsia"/>
          <w:sz w:val="20"/>
          <w:szCs w:val="20"/>
        </w:rPr>
        <w:t>position</w:t>
      </w:r>
      <w:r>
        <w:rPr>
          <w:rFonts w:ascii="Times New Roman" w:eastAsia="宋体" w:hAnsi="Times New Roman" w:cs="Times New Roman"/>
          <w:sz w:val="20"/>
          <w:szCs w:val="20"/>
        </w:rPr>
        <w:t>, which can be categorized as following situation:</w:t>
      </w:r>
    </w:p>
    <w:p w:rsidR="00B26739" w:rsidRDefault="002125CB">
      <w:pPr>
        <w:pStyle w:val="ListParagraph"/>
        <w:numPr>
          <w:ilvl w:val="0"/>
          <w:numId w:val="7"/>
        </w:numPr>
        <w:adjustRightInd w:val="0"/>
        <w:snapToGrid w:val="0"/>
        <w:spacing w:beforeLines="50" w:before="120" w:line="240" w:lineRule="auto"/>
        <w:ind w:firstLineChars="0"/>
        <w:rPr>
          <w:rFonts w:ascii="Times New Roman" w:eastAsia="宋体" w:hAnsi="Times New Roman" w:cs="Times New Roman"/>
          <w:sz w:val="20"/>
          <w:szCs w:val="20"/>
        </w:rPr>
      </w:pPr>
      <w:r>
        <w:rPr>
          <w:rFonts w:ascii="Times New Roman" w:eastAsia="宋体" w:hAnsi="Times New Roman" w:cs="Times New Roman" w:hint="eastAsia"/>
          <w:b/>
          <w:bCs/>
          <w:sz w:val="20"/>
          <w:szCs w:val="20"/>
        </w:rPr>
        <w:t>Cold start:</w:t>
      </w:r>
      <w:r>
        <w:rPr>
          <w:rFonts w:ascii="Times New Roman" w:eastAsia="宋体" w:hAnsi="Times New Roman" w:cs="Times New Roman" w:hint="eastAsia"/>
          <w:sz w:val="20"/>
          <w:szCs w:val="20"/>
        </w:rPr>
        <w:t xml:space="preserve"> </w:t>
      </w:r>
    </w:p>
    <w:p w:rsidR="00B26739" w:rsidRDefault="002125CB">
      <w:pPr>
        <w:pStyle w:val="ListParagraph"/>
        <w:adjustRightInd w:val="0"/>
        <w:snapToGrid w:val="0"/>
        <w:spacing w:beforeLines="50" w:before="120" w:line="240" w:lineRule="auto"/>
        <w:ind w:left="420" w:firstLineChars="0" w:firstLine="0"/>
        <w:rPr>
          <w:rFonts w:ascii="Times New Roman" w:eastAsia="宋体" w:hAnsi="Times New Roman" w:cs="Times New Roman"/>
          <w:sz w:val="20"/>
          <w:szCs w:val="20"/>
        </w:rPr>
      </w:pPr>
      <w:r>
        <w:rPr>
          <w:rFonts w:ascii="Times New Roman" w:eastAsia="宋体" w:hAnsi="Times New Roman" w:cs="Times New Roman"/>
          <w:sz w:val="20"/>
          <w:szCs w:val="20"/>
        </w:rPr>
        <w:t>In this state, t</w:t>
      </w:r>
      <w:r>
        <w:rPr>
          <w:rFonts w:ascii="Times New Roman" w:eastAsia="宋体" w:hAnsi="Times New Roman" w:cs="Times New Roman" w:hint="eastAsia"/>
          <w:sz w:val="20"/>
          <w:szCs w:val="20"/>
        </w:rPr>
        <w:t>he UE has no knowledge on almanac or ephemeris. It needs to first</w:t>
      </w:r>
      <w:r w:rsidR="0076127A">
        <w:rPr>
          <w:rFonts w:ascii="Times New Roman" w:eastAsia="宋体" w:hAnsi="Times New Roman" w:cs="Times New Roman"/>
          <w:sz w:val="20"/>
          <w:szCs w:val="20"/>
        </w:rPr>
        <w:t>ly</w:t>
      </w:r>
      <w:r>
        <w:rPr>
          <w:rFonts w:ascii="Times New Roman" w:eastAsia="宋体" w:hAnsi="Times New Roman" w:cs="Times New Roman" w:hint="eastAsia"/>
          <w:sz w:val="20"/>
          <w:szCs w:val="20"/>
        </w:rPr>
        <w:t xml:space="preserve"> obtain the almanac</w:t>
      </w:r>
      <w:r>
        <w:rPr>
          <w:rFonts w:ascii="Times New Roman" w:eastAsia="宋体" w:hAnsi="Times New Roman" w:cs="Times New Roman"/>
          <w:sz w:val="20"/>
          <w:szCs w:val="20"/>
        </w:rPr>
        <w:t xml:space="preserve"> before</w:t>
      </w:r>
      <w:r>
        <w:rPr>
          <w:rFonts w:ascii="Times New Roman" w:eastAsia="宋体" w:hAnsi="Times New Roman" w:cs="Times New Roman" w:hint="eastAsia"/>
          <w:sz w:val="20"/>
          <w:szCs w:val="20"/>
        </w:rPr>
        <w:t xml:space="preserve"> perform</w:t>
      </w:r>
      <w:r>
        <w:rPr>
          <w:rFonts w:ascii="Times New Roman" w:eastAsia="宋体" w:hAnsi="Times New Roman" w:cs="Times New Roman"/>
          <w:sz w:val="20"/>
          <w:szCs w:val="20"/>
        </w:rPr>
        <w:t>ing</w:t>
      </w:r>
      <w:r>
        <w:rPr>
          <w:rFonts w:ascii="Times New Roman" w:eastAsia="宋体" w:hAnsi="Times New Roman" w:cs="Times New Roman" w:hint="eastAsia"/>
          <w:sz w:val="20"/>
          <w:szCs w:val="20"/>
        </w:rPr>
        <w:t xml:space="preserve"> positioning. Since the almanac is transmitted repeatedly with a periodicity of 12.5 minutes, the cold start needs a long time for positioning</w:t>
      </w:r>
      <w:r>
        <w:rPr>
          <w:rFonts w:ascii="Times New Roman" w:eastAsia="宋体" w:hAnsi="Times New Roman" w:cs="Times New Roman"/>
          <w:sz w:val="20"/>
          <w:szCs w:val="20"/>
        </w:rPr>
        <w:t xml:space="preserve">, e.g., </w:t>
      </w:r>
      <w:r>
        <w:rPr>
          <w:rFonts w:ascii="Times New Roman" w:eastAsia="宋体" w:hAnsi="Times New Roman" w:cs="Times New Roman" w:hint="eastAsia"/>
          <w:sz w:val="20"/>
          <w:szCs w:val="20"/>
        </w:rPr>
        <w:t>15 minutes</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_Ref14064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9E44F6">
        <w:rPr>
          <w:rFonts w:ascii="Times New Roman" w:eastAsia="宋体" w:hAnsi="Times New Roman" w:cs="Times New Roman"/>
          <w:sz w:val="20"/>
          <w:szCs w:val="20"/>
        </w:rPr>
        <w:t>[7]</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w:t>
      </w:r>
    </w:p>
    <w:p w:rsidR="00B26739" w:rsidRDefault="002125CB">
      <w:pPr>
        <w:pStyle w:val="ListParagraph"/>
        <w:numPr>
          <w:ilvl w:val="0"/>
          <w:numId w:val="7"/>
        </w:numPr>
        <w:adjustRightInd w:val="0"/>
        <w:snapToGrid w:val="0"/>
        <w:spacing w:beforeLines="50" w:before="120" w:line="240" w:lineRule="auto"/>
        <w:ind w:firstLineChars="0"/>
        <w:rPr>
          <w:rFonts w:ascii="Times New Roman" w:eastAsia="宋体" w:hAnsi="Times New Roman" w:cs="Times New Roman"/>
          <w:sz w:val="20"/>
          <w:szCs w:val="20"/>
        </w:rPr>
      </w:pPr>
      <w:r>
        <w:rPr>
          <w:rFonts w:ascii="Times New Roman" w:eastAsia="宋体" w:hAnsi="Times New Roman" w:cs="Times New Roman" w:hint="eastAsia"/>
          <w:b/>
          <w:bCs/>
          <w:sz w:val="20"/>
          <w:szCs w:val="20"/>
        </w:rPr>
        <w:t>Warm start:</w:t>
      </w:r>
      <w:r>
        <w:rPr>
          <w:rFonts w:ascii="Times New Roman" w:eastAsia="宋体" w:hAnsi="Times New Roman" w:cs="Times New Roman" w:hint="eastAsia"/>
          <w:sz w:val="20"/>
          <w:szCs w:val="20"/>
        </w:rPr>
        <w:t xml:space="preserve"> </w:t>
      </w:r>
    </w:p>
    <w:p w:rsidR="00B26739" w:rsidRDefault="002125CB">
      <w:pPr>
        <w:pStyle w:val="ListParagraph"/>
        <w:adjustRightInd w:val="0"/>
        <w:snapToGrid w:val="0"/>
        <w:spacing w:beforeLines="50" w:before="120" w:line="240" w:lineRule="auto"/>
        <w:ind w:left="420" w:firstLineChars="0" w:firstLine="0"/>
        <w:rPr>
          <w:rFonts w:ascii="Times New Roman" w:eastAsia="宋体" w:hAnsi="Times New Roman" w:cs="Times New Roman"/>
          <w:sz w:val="20"/>
          <w:szCs w:val="20"/>
        </w:rPr>
      </w:pPr>
      <w:r>
        <w:rPr>
          <w:rFonts w:ascii="Times New Roman" w:eastAsia="宋体" w:hAnsi="Times New Roman" w:cs="Times New Roman"/>
          <w:sz w:val="20"/>
          <w:szCs w:val="20"/>
        </w:rPr>
        <w:t>In this case, t</w:t>
      </w:r>
      <w:r>
        <w:rPr>
          <w:rFonts w:ascii="Times New Roman" w:eastAsia="宋体" w:hAnsi="Times New Roman" w:cs="Times New Roman" w:hint="eastAsia"/>
          <w:sz w:val="20"/>
          <w:szCs w:val="20"/>
        </w:rPr>
        <w:t xml:space="preserve">he UE </w:t>
      </w:r>
      <w:r>
        <w:rPr>
          <w:rFonts w:ascii="Times New Roman" w:eastAsia="宋体" w:hAnsi="Times New Roman" w:cs="Times New Roman"/>
          <w:sz w:val="20"/>
          <w:szCs w:val="20"/>
        </w:rPr>
        <w:t xml:space="preserve">is expected to have the </w:t>
      </w:r>
      <w:r>
        <w:rPr>
          <w:rFonts w:ascii="Times New Roman" w:eastAsia="宋体" w:hAnsi="Times New Roman" w:cs="Times New Roman" w:hint="eastAsia"/>
          <w:sz w:val="20"/>
          <w:szCs w:val="20"/>
        </w:rPr>
        <w:t xml:space="preserve">almanac but </w:t>
      </w:r>
      <w:r>
        <w:rPr>
          <w:rFonts w:ascii="Times New Roman" w:eastAsia="宋体" w:hAnsi="Times New Roman" w:cs="Times New Roman"/>
          <w:sz w:val="20"/>
          <w:szCs w:val="20"/>
        </w:rPr>
        <w:t>without</w:t>
      </w:r>
      <w:r>
        <w:rPr>
          <w:rFonts w:ascii="Times New Roman" w:eastAsia="宋体" w:hAnsi="Times New Roman" w:cs="Times New Roman" w:hint="eastAsia"/>
          <w:sz w:val="20"/>
          <w:szCs w:val="20"/>
        </w:rPr>
        <w:t xml:space="preserve"> ephemeris. It needs to first obtain the ephemeris. Generally a GPS chip can concurrently receive the signals of multiple satellites. </w:t>
      </w:r>
    </w:p>
    <w:p w:rsidR="00B26739" w:rsidRDefault="002125CB">
      <w:pPr>
        <w:pStyle w:val="ListParagraph"/>
        <w:numPr>
          <w:ilvl w:val="0"/>
          <w:numId w:val="7"/>
        </w:numPr>
        <w:adjustRightInd w:val="0"/>
        <w:snapToGrid w:val="0"/>
        <w:spacing w:beforeLines="50" w:before="120" w:line="240" w:lineRule="auto"/>
        <w:ind w:firstLineChars="0"/>
        <w:rPr>
          <w:rFonts w:ascii="Times New Roman" w:eastAsia="宋体" w:hAnsi="Times New Roman" w:cs="Times New Roman"/>
          <w:sz w:val="20"/>
          <w:szCs w:val="20"/>
        </w:rPr>
      </w:pPr>
      <w:r>
        <w:rPr>
          <w:rFonts w:ascii="Times New Roman" w:eastAsia="宋体" w:hAnsi="Times New Roman" w:cs="Times New Roman" w:hint="eastAsia"/>
          <w:b/>
          <w:bCs/>
          <w:sz w:val="20"/>
          <w:szCs w:val="20"/>
        </w:rPr>
        <w:t>Hot start:</w:t>
      </w:r>
      <w:r>
        <w:rPr>
          <w:rFonts w:ascii="Times New Roman" w:eastAsia="宋体" w:hAnsi="Times New Roman" w:cs="Times New Roman" w:hint="eastAsia"/>
          <w:sz w:val="20"/>
          <w:szCs w:val="20"/>
        </w:rPr>
        <w:t xml:space="preserve"> </w:t>
      </w:r>
    </w:p>
    <w:p w:rsidR="00B26739" w:rsidRDefault="002125CB">
      <w:pPr>
        <w:pStyle w:val="ListParagraph"/>
        <w:adjustRightInd w:val="0"/>
        <w:snapToGrid w:val="0"/>
        <w:spacing w:beforeLines="50" w:before="120" w:line="240" w:lineRule="auto"/>
        <w:ind w:left="420" w:firstLineChars="0" w:firstLine="0"/>
        <w:rPr>
          <w:rFonts w:ascii="Times New Roman" w:eastAsia="宋体" w:hAnsi="Times New Roman" w:cs="Times New Roman"/>
          <w:sz w:val="20"/>
          <w:szCs w:val="20"/>
        </w:rPr>
      </w:pPr>
      <w:r>
        <w:rPr>
          <w:rFonts w:ascii="Times New Roman" w:eastAsia="宋体" w:hAnsi="Times New Roman" w:cs="Times New Roman"/>
          <w:sz w:val="20"/>
          <w:szCs w:val="20"/>
        </w:rPr>
        <w:t>In this case, we can assume that the</w:t>
      </w:r>
      <w:r>
        <w:rPr>
          <w:rFonts w:ascii="Times New Roman" w:eastAsia="宋体" w:hAnsi="Times New Roman" w:cs="Times New Roman" w:hint="eastAsia"/>
          <w:sz w:val="20"/>
          <w:szCs w:val="20"/>
        </w:rPr>
        <w:t xml:space="preserve"> UE has valid almanac, ephemeris, and the error of previous timing/positioning result is not large, then the UE can rapidly acquire the GPS signal for positioning. </w:t>
      </w:r>
    </w:p>
    <w:p w:rsidR="00B26739" w:rsidRDefault="00B26739">
      <w:pPr>
        <w:pStyle w:val="ListParagraph"/>
        <w:adjustRightInd w:val="0"/>
        <w:snapToGrid w:val="0"/>
        <w:spacing w:beforeLines="50" w:before="120" w:line="240" w:lineRule="auto"/>
        <w:ind w:firstLineChars="0" w:firstLine="0"/>
        <w:rPr>
          <w:rFonts w:ascii="Times New Roman" w:eastAsia="宋体" w:hAnsi="Times New Roman" w:cs="Times New Roman"/>
          <w:sz w:val="20"/>
          <w:szCs w:val="20"/>
        </w:rPr>
      </w:pPr>
    </w:p>
    <w:p w:rsidR="00B26739" w:rsidRDefault="00B12332">
      <w:pPr>
        <w:pStyle w:val="ListParagraph"/>
        <w:adjustRightInd w:val="0"/>
        <w:snapToGrid w:val="0"/>
        <w:spacing w:beforeLines="50" w:before="120" w:line="240" w:lineRule="auto"/>
        <w:ind w:firstLineChars="0" w:firstLine="0"/>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The required time for warm/hot start may vary up to the production implementation. </w:t>
      </w:r>
      <w:r w:rsidR="001845E7">
        <w:rPr>
          <w:rFonts w:ascii="Times New Roman" w:eastAsia="宋体" w:hAnsi="Times New Roman" w:cs="Times New Roman"/>
          <w:sz w:val="20"/>
          <w:szCs w:val="20"/>
        </w:rPr>
        <w:t xml:space="preserve">Some typical values are provided </w:t>
      </w:r>
      <w:r w:rsidR="002125CB">
        <w:rPr>
          <w:rFonts w:ascii="Times New Roman" w:eastAsia="宋体" w:hAnsi="Times New Roman" w:cs="Times New Roman" w:hint="eastAsia"/>
          <w:sz w:val="20"/>
          <w:szCs w:val="20"/>
        </w:rPr>
        <w:t xml:space="preserve">in </w:t>
      </w:r>
      <w:r w:rsidR="002125CB">
        <w:rPr>
          <w:rFonts w:ascii="Times New Roman" w:eastAsia="宋体" w:hAnsi="Times New Roman" w:cs="Times New Roman" w:hint="eastAsia"/>
          <w:sz w:val="20"/>
          <w:szCs w:val="20"/>
        </w:rPr>
        <w:fldChar w:fldCharType="begin"/>
      </w:r>
      <w:r w:rsidR="002125CB">
        <w:rPr>
          <w:rFonts w:ascii="Times New Roman" w:eastAsia="宋体" w:hAnsi="Times New Roman" w:cs="Times New Roman" w:hint="eastAsia"/>
          <w:sz w:val="20"/>
          <w:szCs w:val="20"/>
        </w:rPr>
        <w:instrText xml:space="preserve"> REF _Ref20064 \h </w:instrText>
      </w:r>
      <w:r w:rsidR="009E44F6">
        <w:rPr>
          <w:rFonts w:ascii="Times New Roman" w:eastAsia="宋体" w:hAnsi="Times New Roman" w:cs="Times New Roman"/>
          <w:sz w:val="20"/>
          <w:szCs w:val="20"/>
        </w:rPr>
        <w:instrText xml:space="preserve"> \* MERGEFORMAT </w:instrText>
      </w:r>
      <w:r w:rsidR="002125CB">
        <w:rPr>
          <w:rFonts w:ascii="Times New Roman" w:eastAsia="宋体" w:hAnsi="Times New Roman" w:cs="Times New Roman" w:hint="eastAsia"/>
          <w:sz w:val="20"/>
          <w:szCs w:val="20"/>
        </w:rPr>
      </w:r>
      <w:r w:rsidR="002125CB">
        <w:rPr>
          <w:rFonts w:ascii="Times New Roman" w:eastAsia="宋体" w:hAnsi="Times New Roman" w:cs="Times New Roman" w:hint="eastAsia"/>
          <w:sz w:val="20"/>
          <w:szCs w:val="20"/>
        </w:rPr>
        <w:fldChar w:fldCharType="separate"/>
      </w:r>
      <w:r w:rsidR="009E44F6" w:rsidRPr="009E44F6">
        <w:rPr>
          <w:rFonts w:ascii="Times New Roman" w:eastAsia="宋体" w:hAnsi="Times New Roman" w:cs="Times New Roman"/>
          <w:sz w:val="20"/>
          <w:szCs w:val="20"/>
        </w:rPr>
        <w:t>Table 3</w:t>
      </w:r>
      <w:r w:rsidR="002125CB">
        <w:rPr>
          <w:rFonts w:ascii="Times New Roman" w:eastAsia="宋体" w:hAnsi="Times New Roman" w:cs="Times New Roman" w:hint="eastAsia"/>
          <w:sz w:val="20"/>
          <w:szCs w:val="20"/>
        </w:rPr>
        <w:fldChar w:fldCharType="end"/>
      </w:r>
      <w:r w:rsidR="001845E7">
        <w:rPr>
          <w:rFonts w:ascii="Times New Roman" w:eastAsia="宋体" w:hAnsi="Times New Roman" w:cs="Times New Roman"/>
          <w:sz w:val="20"/>
          <w:szCs w:val="20"/>
        </w:rPr>
        <w:t xml:space="preserve">, as recommendation, the </w:t>
      </w:r>
      <w:r w:rsidR="001845E7">
        <w:rPr>
          <w:rFonts w:ascii="Times New Roman" w:eastAsia="宋体" w:hAnsi="Times New Roman" w:cs="Times New Roman" w:hint="eastAsia"/>
          <w:sz w:val="20"/>
          <w:szCs w:val="20"/>
        </w:rPr>
        <w:t>30</w:t>
      </w:r>
      <w:r w:rsidR="00B14280">
        <w:rPr>
          <w:rFonts w:ascii="Times New Roman" w:eastAsia="宋体" w:hAnsi="Times New Roman" w:cs="Times New Roman"/>
          <w:sz w:val="20"/>
          <w:szCs w:val="20"/>
        </w:rPr>
        <w:t xml:space="preserve"> </w:t>
      </w:r>
      <w:r w:rsidR="001845E7">
        <w:rPr>
          <w:rFonts w:ascii="Times New Roman" w:eastAsia="宋体" w:hAnsi="Times New Roman" w:cs="Times New Roman" w:hint="eastAsia"/>
          <w:sz w:val="20"/>
          <w:szCs w:val="20"/>
        </w:rPr>
        <w:t>s and</w:t>
      </w:r>
      <w:r w:rsidR="001845E7">
        <w:rPr>
          <w:rFonts w:ascii="Times New Roman" w:eastAsia="宋体" w:hAnsi="Times New Roman" w:cs="Times New Roman"/>
          <w:sz w:val="20"/>
          <w:szCs w:val="20"/>
        </w:rPr>
        <w:t xml:space="preserve"> </w:t>
      </w:r>
      <w:r w:rsidR="002125CB">
        <w:rPr>
          <w:rFonts w:ascii="Times New Roman" w:eastAsia="宋体" w:hAnsi="Times New Roman" w:cs="Times New Roman" w:hint="eastAsia"/>
          <w:sz w:val="20"/>
          <w:szCs w:val="20"/>
        </w:rPr>
        <w:t>1s</w:t>
      </w:r>
      <w:r w:rsidR="001845E7">
        <w:rPr>
          <w:rFonts w:ascii="Times New Roman" w:eastAsia="宋体" w:hAnsi="Times New Roman" w:cs="Times New Roman"/>
          <w:sz w:val="20"/>
          <w:szCs w:val="20"/>
        </w:rPr>
        <w:t xml:space="preserve"> can be taken as baseline </w:t>
      </w:r>
      <w:r w:rsidR="00A469AC">
        <w:rPr>
          <w:rFonts w:ascii="Times New Roman" w:eastAsia="宋体" w:hAnsi="Times New Roman" w:cs="Times New Roman"/>
          <w:sz w:val="20"/>
          <w:szCs w:val="20"/>
        </w:rPr>
        <w:t xml:space="preserve">in evaluation </w:t>
      </w:r>
      <w:r w:rsidR="001845E7">
        <w:rPr>
          <w:rFonts w:ascii="Times New Roman" w:eastAsia="宋体" w:hAnsi="Times New Roman" w:cs="Times New Roman"/>
          <w:sz w:val="20"/>
          <w:szCs w:val="20"/>
        </w:rPr>
        <w:t>for warm and hot start, respectively</w:t>
      </w:r>
      <w:r w:rsidR="002125CB">
        <w:rPr>
          <w:rFonts w:ascii="Times New Roman" w:eastAsia="宋体" w:hAnsi="Times New Roman" w:cs="Times New Roman" w:hint="eastAsia"/>
          <w:sz w:val="20"/>
          <w:szCs w:val="20"/>
        </w:rPr>
        <w:t>.</w:t>
      </w:r>
    </w:p>
    <w:p w:rsidR="00B26739" w:rsidRDefault="002125CB">
      <w:pPr>
        <w:pStyle w:val="Caption"/>
      </w:pPr>
      <w:bookmarkStart w:id="8" w:name="_Ref20064"/>
      <w:bookmarkStart w:id="9" w:name="_Ref20042"/>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sidR="009E44F6">
        <w:rPr>
          <w:b w:val="0"/>
          <w:bCs w:val="0"/>
          <w:noProof/>
        </w:rPr>
        <w:t>3</w:t>
      </w:r>
      <w:r>
        <w:rPr>
          <w:b w:val="0"/>
          <w:bCs w:val="0"/>
        </w:rPr>
        <w:fldChar w:fldCharType="end"/>
      </w:r>
      <w:bookmarkEnd w:id="8"/>
      <w:r>
        <w:rPr>
          <w:rFonts w:hint="eastAsia"/>
          <w:lang w:val="en-US"/>
        </w:rPr>
        <w:t xml:space="preserve"> </w:t>
      </w:r>
      <w:r>
        <w:rPr>
          <w:b w:val="0"/>
        </w:rPr>
        <w:t>The exemplified</w:t>
      </w:r>
      <w:r>
        <w:rPr>
          <w:rFonts w:hint="eastAsia"/>
          <w:b w:val="0"/>
          <w:lang w:val="en-US"/>
        </w:rPr>
        <w:t xml:space="preserve"> positioning</w:t>
      </w:r>
      <w:r>
        <w:rPr>
          <w:b w:val="0"/>
        </w:rPr>
        <w:t xml:space="preserve"> </w:t>
      </w:r>
      <w:r>
        <w:rPr>
          <w:rFonts w:hint="eastAsia"/>
          <w:b w:val="0"/>
          <w:lang w:val="en-US"/>
        </w:rPr>
        <w:t>time</w:t>
      </w:r>
      <w:r>
        <w:rPr>
          <w:b w:val="0"/>
        </w:rPr>
        <w:t xml:space="preserve"> of several GPS chips</w:t>
      </w:r>
      <w:bookmarkEnd w:id="9"/>
    </w:p>
    <w:tbl>
      <w:tblPr>
        <w:tblStyle w:val="TableGrid"/>
        <w:tblW w:w="7227" w:type="dxa"/>
        <w:jc w:val="center"/>
        <w:tblLayout w:type="fixed"/>
        <w:tblLook w:val="04A0" w:firstRow="1" w:lastRow="0" w:firstColumn="1" w:lastColumn="0" w:noHBand="0" w:noVBand="1"/>
      </w:tblPr>
      <w:tblGrid>
        <w:gridCol w:w="2690"/>
        <w:gridCol w:w="2362"/>
        <w:gridCol w:w="2175"/>
      </w:tblGrid>
      <w:tr w:rsidR="00B26739">
        <w:trPr>
          <w:jc w:val="center"/>
        </w:trPr>
        <w:tc>
          <w:tcPr>
            <w:tcW w:w="2690" w:type="dxa"/>
          </w:tcPr>
          <w:p w:rsidR="00B26739" w:rsidRDefault="002125CB">
            <w:pPr>
              <w:jc w:val="center"/>
              <w:rPr>
                <w:rFonts w:ascii="Times New Roman" w:hAnsi="Times New Roman" w:cs="Times New Roman"/>
                <w:b/>
                <w:bCs/>
                <w:sz w:val="20"/>
                <w:szCs w:val="20"/>
              </w:rPr>
            </w:pPr>
            <w:r>
              <w:rPr>
                <w:rFonts w:ascii="Times New Roman" w:hAnsi="Times New Roman" w:cs="Times New Roman"/>
                <w:b/>
                <w:bCs/>
                <w:sz w:val="20"/>
                <w:szCs w:val="20"/>
              </w:rPr>
              <w:t>Chip Name</w:t>
            </w:r>
          </w:p>
        </w:tc>
        <w:tc>
          <w:tcPr>
            <w:tcW w:w="2362" w:type="dxa"/>
          </w:tcPr>
          <w:p w:rsidR="00B26739" w:rsidRDefault="002125CB">
            <w:pPr>
              <w:jc w:val="center"/>
              <w:rPr>
                <w:rFonts w:ascii="Times New Roman" w:hAnsi="Times New Roman" w:cs="Times New Roman"/>
                <w:b/>
                <w:bCs/>
                <w:sz w:val="20"/>
                <w:szCs w:val="20"/>
              </w:rPr>
            </w:pPr>
            <w:r>
              <w:rPr>
                <w:rFonts w:ascii="Times New Roman" w:hAnsi="Times New Roman" w:cs="Times New Roman" w:hint="eastAsia"/>
                <w:b/>
                <w:bCs/>
                <w:sz w:val="20"/>
                <w:szCs w:val="20"/>
              </w:rPr>
              <w:t>Warm Start</w:t>
            </w:r>
          </w:p>
        </w:tc>
        <w:tc>
          <w:tcPr>
            <w:tcW w:w="2175" w:type="dxa"/>
          </w:tcPr>
          <w:p w:rsidR="00B26739" w:rsidRDefault="002125CB">
            <w:pPr>
              <w:jc w:val="center"/>
              <w:rPr>
                <w:rFonts w:ascii="Times New Roman" w:hAnsi="Times New Roman" w:cs="Times New Roman"/>
                <w:b/>
                <w:bCs/>
                <w:sz w:val="20"/>
                <w:szCs w:val="20"/>
              </w:rPr>
            </w:pPr>
            <w:r>
              <w:rPr>
                <w:rFonts w:ascii="Times New Roman" w:hAnsi="Times New Roman" w:cs="Times New Roman" w:hint="eastAsia"/>
                <w:b/>
                <w:bCs/>
                <w:sz w:val="20"/>
                <w:szCs w:val="20"/>
              </w:rPr>
              <w:t>Hot Start</w:t>
            </w:r>
          </w:p>
        </w:tc>
      </w:tr>
      <w:tr w:rsidR="00B26739">
        <w:trPr>
          <w:jc w:val="center"/>
        </w:trPr>
        <w:tc>
          <w:tcPr>
            <w:tcW w:w="2690" w:type="dxa"/>
          </w:tcPr>
          <w:p w:rsidR="00B26739" w:rsidRDefault="002125CB">
            <w:pPr>
              <w:jc w:val="center"/>
              <w:rPr>
                <w:rFonts w:ascii="Times New Roman" w:hAnsi="Times New Roman" w:cs="Times New Roman"/>
                <w:sz w:val="20"/>
                <w:szCs w:val="20"/>
              </w:rPr>
            </w:pPr>
            <w:proofErr w:type="spellStart"/>
            <w:r>
              <w:rPr>
                <w:rFonts w:ascii="Times New Roman" w:hAnsi="Times New Roman" w:cs="Times New Roman" w:hint="eastAsia"/>
                <w:sz w:val="20"/>
                <w:szCs w:val="20"/>
              </w:rPr>
              <w:t>Erinome</w:t>
            </w:r>
            <w:proofErr w:type="spellEnd"/>
            <w:r>
              <w:rPr>
                <w:rFonts w:ascii="Times New Roman" w:hAnsi="Times New Roman" w:cs="Times New Roman" w:hint="eastAsia"/>
                <w:sz w:val="20"/>
                <w:szCs w:val="20"/>
              </w:rPr>
              <w:t>-II</w:t>
            </w:r>
          </w:p>
        </w:tc>
        <w:tc>
          <w:tcPr>
            <w:tcW w:w="2362"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28s</w:t>
            </w:r>
          </w:p>
        </w:tc>
        <w:tc>
          <w:tcPr>
            <w:tcW w:w="2175"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1s</w:t>
            </w:r>
          </w:p>
        </w:tc>
      </w:tr>
      <w:tr w:rsidR="00B26739">
        <w:trPr>
          <w:jc w:val="center"/>
        </w:trPr>
        <w:tc>
          <w:tcPr>
            <w:tcW w:w="2690"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GM-A023</w:t>
            </w:r>
          </w:p>
        </w:tc>
        <w:tc>
          <w:tcPr>
            <w:tcW w:w="2362"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30s</w:t>
            </w:r>
          </w:p>
        </w:tc>
        <w:tc>
          <w:tcPr>
            <w:tcW w:w="2175"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1s</w:t>
            </w:r>
          </w:p>
        </w:tc>
      </w:tr>
      <w:tr w:rsidR="00B26739">
        <w:trPr>
          <w:jc w:val="center"/>
        </w:trPr>
        <w:tc>
          <w:tcPr>
            <w:tcW w:w="2690"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SE868 V3</w:t>
            </w:r>
          </w:p>
        </w:tc>
        <w:tc>
          <w:tcPr>
            <w:tcW w:w="2362"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23s</w:t>
            </w:r>
          </w:p>
        </w:tc>
        <w:tc>
          <w:tcPr>
            <w:tcW w:w="2175"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1.1s</w:t>
            </w:r>
          </w:p>
        </w:tc>
      </w:tr>
      <w:tr w:rsidR="00B26739">
        <w:trPr>
          <w:jc w:val="center"/>
        </w:trPr>
        <w:tc>
          <w:tcPr>
            <w:tcW w:w="2690"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A2235-H</w:t>
            </w:r>
          </w:p>
        </w:tc>
        <w:tc>
          <w:tcPr>
            <w:tcW w:w="2362"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32s</w:t>
            </w:r>
          </w:p>
        </w:tc>
        <w:tc>
          <w:tcPr>
            <w:tcW w:w="2175"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1s</w:t>
            </w:r>
          </w:p>
        </w:tc>
      </w:tr>
      <w:tr w:rsidR="00B26739">
        <w:trPr>
          <w:jc w:val="center"/>
        </w:trPr>
        <w:tc>
          <w:tcPr>
            <w:tcW w:w="2690"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FMP3312</w:t>
            </w:r>
          </w:p>
        </w:tc>
        <w:tc>
          <w:tcPr>
            <w:tcW w:w="2362"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33s</w:t>
            </w:r>
          </w:p>
        </w:tc>
        <w:tc>
          <w:tcPr>
            <w:tcW w:w="2175" w:type="dxa"/>
          </w:tcPr>
          <w:p w:rsidR="00B26739" w:rsidRDefault="002125CB">
            <w:pPr>
              <w:jc w:val="center"/>
              <w:rPr>
                <w:rFonts w:ascii="Times New Roman" w:hAnsi="Times New Roman" w:cs="Times New Roman"/>
                <w:sz w:val="20"/>
                <w:szCs w:val="20"/>
              </w:rPr>
            </w:pPr>
            <w:r>
              <w:rPr>
                <w:rFonts w:ascii="Times New Roman" w:hAnsi="Times New Roman" w:cs="Times New Roman" w:hint="eastAsia"/>
                <w:sz w:val="20"/>
                <w:szCs w:val="20"/>
              </w:rPr>
              <w:t>1s</w:t>
            </w:r>
          </w:p>
        </w:tc>
      </w:tr>
    </w:tbl>
    <w:p w:rsidR="00B26739" w:rsidRDefault="002125CB" w:rsidP="002125CB">
      <w:pPr>
        <w:spacing w:beforeLines="50" w:before="12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Generally a GPS chip has a constant power consumption when it is turned on. The rated powers of several GPS chips are presented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w:instrText>
      </w:r>
      <w:r>
        <w:rPr>
          <w:rFonts w:ascii="Times New Roman" w:eastAsia="宋体" w:hAnsi="Times New Roman" w:cs="Times New Roman" w:hint="eastAsia"/>
          <w:sz w:val="20"/>
          <w:szCs w:val="20"/>
        </w:rPr>
        <w:instrText>REF _Ref54081042 \h</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9E44F6" w:rsidRPr="009E44F6">
        <w:rPr>
          <w:rFonts w:ascii="Times New Roman" w:eastAsia="宋体" w:hAnsi="Times New Roman" w:cs="Times New Roman"/>
          <w:sz w:val="20"/>
          <w:szCs w:val="20"/>
        </w:rPr>
        <w:t>Table 4</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The energy consumption for each positioning can be calculated based on the positioning time length and the given rated power.</w:t>
      </w:r>
    </w:p>
    <w:p w:rsidR="00B26739" w:rsidRDefault="002125CB">
      <w:pPr>
        <w:pStyle w:val="Caption"/>
        <w:keepNext/>
        <w:rPr>
          <w:b w:val="0"/>
        </w:rPr>
      </w:pPr>
      <w:bookmarkStart w:id="10" w:name="_Ref54081042"/>
      <w:r>
        <w:rPr>
          <w:b w:val="0"/>
        </w:rPr>
        <w:t xml:space="preserve">Table </w:t>
      </w:r>
      <w:r>
        <w:rPr>
          <w:b w:val="0"/>
        </w:rPr>
        <w:fldChar w:fldCharType="begin"/>
      </w:r>
      <w:r>
        <w:rPr>
          <w:b w:val="0"/>
        </w:rPr>
        <w:instrText xml:space="preserve"> SEQ Table \* ARABIC </w:instrText>
      </w:r>
      <w:r>
        <w:rPr>
          <w:b w:val="0"/>
        </w:rPr>
        <w:fldChar w:fldCharType="separate"/>
      </w:r>
      <w:r w:rsidR="009E44F6">
        <w:rPr>
          <w:b w:val="0"/>
          <w:noProof/>
        </w:rPr>
        <w:t>4</w:t>
      </w:r>
      <w:r>
        <w:rPr>
          <w:b w:val="0"/>
        </w:rPr>
        <w:fldChar w:fldCharType="end"/>
      </w:r>
      <w:bookmarkEnd w:id="10"/>
      <w:r>
        <w:rPr>
          <w:b w:val="0"/>
        </w:rPr>
        <w:t xml:space="preserve"> </w:t>
      </w:r>
      <w:proofErr w:type="gramStart"/>
      <w:r>
        <w:rPr>
          <w:b w:val="0"/>
        </w:rPr>
        <w:t>The</w:t>
      </w:r>
      <w:proofErr w:type="gramEnd"/>
      <w:r>
        <w:rPr>
          <w:b w:val="0"/>
        </w:rPr>
        <w:t xml:space="preserve"> exemplified power of several GPS chips</w:t>
      </w:r>
    </w:p>
    <w:tbl>
      <w:tblPr>
        <w:tblStyle w:val="TableGrid"/>
        <w:tblW w:w="5355" w:type="dxa"/>
        <w:jc w:val="center"/>
        <w:tblLayout w:type="fixed"/>
        <w:tblLook w:val="04A0" w:firstRow="1" w:lastRow="0" w:firstColumn="1" w:lastColumn="0" w:noHBand="0" w:noVBand="1"/>
      </w:tblPr>
      <w:tblGrid>
        <w:gridCol w:w="2690"/>
        <w:gridCol w:w="2665"/>
      </w:tblGrid>
      <w:tr w:rsidR="00B26739">
        <w:trPr>
          <w:jc w:val="center"/>
        </w:trPr>
        <w:tc>
          <w:tcPr>
            <w:tcW w:w="2690" w:type="dxa"/>
          </w:tcPr>
          <w:p w:rsidR="00B26739" w:rsidRDefault="002125CB">
            <w:pPr>
              <w:jc w:val="center"/>
              <w:rPr>
                <w:rFonts w:ascii="Times New Roman" w:hAnsi="Times New Roman" w:cs="Times New Roman"/>
                <w:b/>
                <w:bCs/>
                <w:sz w:val="20"/>
                <w:szCs w:val="20"/>
              </w:rPr>
            </w:pPr>
            <w:r>
              <w:rPr>
                <w:rFonts w:ascii="Times New Roman" w:hAnsi="Times New Roman" w:cs="Times New Roman"/>
                <w:b/>
                <w:bCs/>
                <w:sz w:val="20"/>
                <w:szCs w:val="20"/>
              </w:rPr>
              <w:t>Chip Name</w:t>
            </w:r>
          </w:p>
        </w:tc>
        <w:tc>
          <w:tcPr>
            <w:tcW w:w="2665" w:type="dxa"/>
          </w:tcPr>
          <w:p w:rsidR="00B26739" w:rsidRDefault="002125CB">
            <w:pPr>
              <w:jc w:val="center"/>
              <w:rPr>
                <w:rFonts w:ascii="Times New Roman" w:hAnsi="Times New Roman" w:cs="Times New Roman"/>
                <w:b/>
                <w:bCs/>
                <w:sz w:val="20"/>
                <w:szCs w:val="20"/>
              </w:rPr>
            </w:pPr>
            <w:r>
              <w:rPr>
                <w:rFonts w:ascii="Times New Roman" w:hAnsi="Times New Roman" w:cs="Times New Roman"/>
                <w:b/>
                <w:bCs/>
                <w:sz w:val="20"/>
                <w:szCs w:val="20"/>
              </w:rPr>
              <w:t>Rated Power</w:t>
            </w:r>
          </w:p>
        </w:tc>
      </w:tr>
      <w:tr w:rsidR="00B26739">
        <w:trPr>
          <w:jc w:val="center"/>
        </w:trPr>
        <w:tc>
          <w:tcPr>
            <w:tcW w:w="2690" w:type="dxa"/>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Sony CXD5610GF</w:t>
            </w:r>
          </w:p>
        </w:tc>
        <w:tc>
          <w:tcPr>
            <w:tcW w:w="2665" w:type="dxa"/>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6-9mW</w:t>
            </w:r>
          </w:p>
        </w:tc>
      </w:tr>
      <w:tr w:rsidR="00B26739">
        <w:trPr>
          <w:jc w:val="center"/>
        </w:trPr>
        <w:tc>
          <w:tcPr>
            <w:tcW w:w="2690" w:type="dxa"/>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Sony CXD5610G</w:t>
            </w:r>
            <w:r>
              <w:rPr>
                <w:rFonts w:ascii="Times New Roman" w:hAnsi="Times New Roman" w:cs="Times New Roman" w:hint="eastAsia"/>
                <w:sz w:val="20"/>
                <w:szCs w:val="20"/>
              </w:rPr>
              <w:t>G</w:t>
            </w:r>
          </w:p>
        </w:tc>
        <w:tc>
          <w:tcPr>
            <w:tcW w:w="2665" w:type="dxa"/>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7-11mW</w:t>
            </w:r>
          </w:p>
        </w:tc>
      </w:tr>
      <w:tr w:rsidR="00B26739">
        <w:trPr>
          <w:jc w:val="center"/>
        </w:trPr>
        <w:tc>
          <w:tcPr>
            <w:tcW w:w="2690" w:type="dxa"/>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GNS41xsLP</w:t>
            </w:r>
          </w:p>
        </w:tc>
        <w:tc>
          <w:tcPr>
            <w:tcW w:w="2665" w:type="dxa"/>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22.5mW</w:t>
            </w:r>
          </w:p>
        </w:tc>
      </w:tr>
      <w:tr w:rsidR="00B26739">
        <w:trPr>
          <w:jc w:val="center"/>
        </w:trPr>
        <w:tc>
          <w:tcPr>
            <w:tcW w:w="2690" w:type="dxa"/>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M10478-A1</w:t>
            </w:r>
          </w:p>
        </w:tc>
        <w:tc>
          <w:tcPr>
            <w:tcW w:w="2665" w:type="dxa"/>
          </w:tcPr>
          <w:p w:rsidR="00B26739" w:rsidRDefault="002125CB">
            <w:pPr>
              <w:jc w:val="center"/>
              <w:rPr>
                <w:rFonts w:ascii="Times New Roman" w:hAnsi="Times New Roman" w:cs="Times New Roman"/>
                <w:sz w:val="20"/>
                <w:szCs w:val="20"/>
              </w:rPr>
            </w:pPr>
            <w:r>
              <w:rPr>
                <w:rFonts w:ascii="Times New Roman" w:hAnsi="Times New Roman" w:cs="Times New Roman"/>
                <w:sz w:val="20"/>
                <w:szCs w:val="20"/>
              </w:rPr>
              <w:t>10mW</w:t>
            </w:r>
          </w:p>
        </w:tc>
      </w:tr>
    </w:tbl>
    <w:p w:rsidR="00B26739" w:rsidRDefault="002125CB">
      <w:pPr>
        <w:adjustRightInd w:val="0"/>
        <w:snapToGrid w:val="0"/>
        <w:spacing w:beforeLines="50" w:before="12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Since the validity time of almanac is very long, </w:t>
      </w:r>
      <w:r>
        <w:rPr>
          <w:rFonts w:ascii="Times New Roman" w:eastAsia="宋体" w:hAnsi="Times New Roman" w:cs="Times New Roman"/>
          <w:sz w:val="20"/>
          <w:szCs w:val="20"/>
        </w:rPr>
        <w:t xml:space="preserve">for the usage of GNSS in IoT-NTN, we can take the </w:t>
      </w:r>
      <w:r>
        <w:rPr>
          <w:rFonts w:ascii="Times New Roman" w:eastAsia="宋体" w:hAnsi="Times New Roman" w:cs="Times New Roman" w:hint="eastAsia"/>
          <w:sz w:val="20"/>
          <w:szCs w:val="20"/>
        </w:rPr>
        <w:t>warm start and hot start</w:t>
      </w:r>
      <w:r>
        <w:rPr>
          <w:rFonts w:ascii="Times New Roman" w:eastAsia="宋体" w:hAnsi="Times New Roman" w:cs="Times New Roman"/>
          <w:sz w:val="20"/>
          <w:szCs w:val="20"/>
        </w:rPr>
        <w:t xml:space="preserve"> as the baseline for analysis, which may be assumed for the UE in connected mode or eDRX/PSM, respectively</w:t>
      </w:r>
      <w:r>
        <w:rPr>
          <w:rFonts w:ascii="Times New Roman" w:eastAsia="宋体" w:hAnsi="Times New Roman" w:cs="Times New Roman" w:hint="eastAsia"/>
          <w:sz w:val="20"/>
          <w:szCs w:val="20"/>
        </w:rPr>
        <w:t xml:space="preserve">. </w:t>
      </w:r>
      <w:r w:rsidR="0076127A">
        <w:rPr>
          <w:rFonts w:ascii="Times New Roman" w:eastAsia="宋体" w:hAnsi="Times New Roman" w:cs="Times New Roman"/>
          <w:sz w:val="20"/>
          <w:szCs w:val="20"/>
        </w:rPr>
        <w:t>One exemplified</w:t>
      </w:r>
      <w:r>
        <w:rPr>
          <w:rFonts w:ascii="Times New Roman" w:eastAsia="宋体" w:hAnsi="Times New Roman" w:cs="Times New Roman"/>
          <w:sz w:val="20"/>
          <w:szCs w:val="20"/>
        </w:rPr>
        <w:t xml:space="preserve"> assumption on the corresponding power consumption for each locating can be 600mJ for a warm start and </w:t>
      </w:r>
      <w:r>
        <w:rPr>
          <w:rFonts w:ascii="Times New Roman" w:eastAsia="宋体" w:hAnsi="Times New Roman" w:cs="Times New Roman" w:hint="eastAsia"/>
          <w:sz w:val="20"/>
          <w:szCs w:val="20"/>
        </w:rPr>
        <w:t>20</w:t>
      </w:r>
      <w:r>
        <w:rPr>
          <w:rFonts w:ascii="Times New Roman" w:eastAsia="宋体" w:hAnsi="Times New Roman" w:cs="Times New Roman"/>
          <w:sz w:val="20"/>
          <w:szCs w:val="20"/>
        </w:rPr>
        <w:t>mJ for a hot start.</w:t>
      </w:r>
      <w:r>
        <w:rPr>
          <w:rFonts w:ascii="Times New Roman" w:eastAsia="宋体" w:hAnsi="Times New Roman" w:cs="Times New Roman" w:hint="eastAsia"/>
          <w:sz w:val="20"/>
          <w:szCs w:val="20"/>
        </w:rPr>
        <w:t xml:space="preserve"> </w:t>
      </w:r>
    </w:p>
    <w:p w:rsidR="00B26739" w:rsidRDefault="002125CB">
      <w:pPr>
        <w:adjustRightInd w:val="0"/>
        <w:snapToGrid w:val="0"/>
        <w:spacing w:beforeLines="50" w:before="120" w:line="240" w:lineRule="auto"/>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w:t>
      </w:r>
      <w:r>
        <w:rPr>
          <w:rFonts w:ascii="Times New Roman" w:eastAsia="宋体" w:hAnsi="Times New Roman"/>
          <w:b/>
          <w:i/>
          <w:sz w:val="20"/>
          <w:szCs w:val="20"/>
        </w:rPr>
        <w:t xml:space="preserve"> </w:t>
      </w:r>
      <w:r>
        <w:rPr>
          <w:rFonts w:ascii="Times New Roman" w:eastAsia="宋体" w:hAnsi="Times New Roman"/>
          <w:i/>
          <w:sz w:val="20"/>
          <w:szCs w:val="20"/>
        </w:rPr>
        <w:t>Investigation on the power consumption due to the additional reception of GNSS should be conducted.</w:t>
      </w:r>
    </w:p>
    <w:p w:rsidR="00B26739" w:rsidRDefault="002125CB">
      <w:pPr>
        <w:pStyle w:val="Heading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NPRACH Capacity</w:t>
      </w:r>
    </w:p>
    <w:p w:rsidR="00B26739" w:rsidRDefault="002125CB">
      <w:pPr>
        <w:adjustRightInd w:val="0"/>
        <w:snapToGrid w:val="0"/>
        <w:spacing w:beforeLines="50" w:before="120" w:line="240" w:lineRule="auto"/>
        <w:rPr>
          <w:rFonts w:ascii="Times New Roman" w:eastAsia="宋体" w:hAnsi="Times New Roman" w:cs="Times New Roman"/>
          <w:sz w:val="20"/>
          <w:szCs w:val="20"/>
        </w:rPr>
      </w:pPr>
      <w:r>
        <w:rPr>
          <w:rFonts w:ascii="Times New Roman" w:eastAsia="宋体" w:hAnsi="Times New Roman" w:cs="Times New Roman"/>
          <w:sz w:val="20"/>
          <w:szCs w:val="20"/>
        </w:rPr>
        <w:t>As one target on IoT device, massive connection in the wider coverage is expected to support the various usage e.g., environment monitoring, logistic, etc. In the existing design, the corresponding capacity of channel to satisfy the requirements is based on the cell deployment on in the terrestrial network, e.g., ISD = 1732</w:t>
      </w:r>
      <w:r>
        <w:rPr>
          <w:rFonts w:ascii="Times New Roman" w:eastAsia="宋体" w:hAnsi="Times New Roman" w:cs="Times New Roman" w:hint="eastAsia"/>
          <w:sz w:val="20"/>
          <w:szCs w:val="20"/>
        </w:rPr>
        <w:t xml:space="preserve"> m</w:t>
      </w:r>
      <w:r>
        <w:rPr>
          <w:rFonts w:ascii="Times New Roman" w:eastAsia="宋体" w:hAnsi="Times New Roman" w:cs="Times New Roman"/>
          <w:sz w:val="20"/>
          <w:szCs w:val="20"/>
        </w:rPr>
        <w:t>. However, in NTN case, even one beam per cell is considered, much large coverage is expected comparing to terrestrial cell.</w:t>
      </w:r>
      <w:r>
        <w:rPr>
          <w:rFonts w:ascii="Times New Roman" w:eastAsia="宋体" w:hAnsi="Times New Roman" w:cs="Times New Roman" w:hint="eastAsia"/>
          <w:sz w:val="20"/>
          <w:szCs w:val="20"/>
        </w:rPr>
        <w:t xml:space="preserve"> Therefore</w:t>
      </w:r>
      <w:r>
        <w:rPr>
          <w:rFonts w:ascii="Times New Roman" w:eastAsia="宋体" w:hAnsi="Times New Roman" w:cs="Times New Roman"/>
          <w:sz w:val="20"/>
          <w:szCs w:val="20"/>
        </w:rPr>
        <w:t>, the</w:t>
      </w:r>
      <w:r>
        <w:rPr>
          <w:rFonts w:ascii="Times New Roman" w:eastAsia="宋体" w:hAnsi="Times New Roman" w:cs="Times New Roman" w:hint="eastAsia"/>
          <w:sz w:val="20"/>
          <w:szCs w:val="20"/>
        </w:rPr>
        <w:t xml:space="preserve"> capacity </w:t>
      </w:r>
      <w:r>
        <w:rPr>
          <w:rFonts w:ascii="Times New Roman" w:eastAsia="宋体" w:hAnsi="Times New Roman" w:cs="Times New Roman"/>
          <w:sz w:val="20"/>
          <w:szCs w:val="20"/>
        </w:rPr>
        <w:t xml:space="preserve">of each channel </w:t>
      </w:r>
      <w:r>
        <w:rPr>
          <w:rFonts w:ascii="Times New Roman" w:eastAsia="宋体" w:hAnsi="Times New Roman" w:cs="Times New Roman" w:hint="eastAsia"/>
          <w:sz w:val="20"/>
          <w:szCs w:val="20"/>
        </w:rPr>
        <w:t xml:space="preserve">in NTN </w:t>
      </w:r>
      <w:r>
        <w:rPr>
          <w:rFonts w:ascii="Times New Roman" w:eastAsia="宋体" w:hAnsi="Times New Roman" w:cs="Times New Roman"/>
          <w:sz w:val="20"/>
          <w:szCs w:val="20"/>
        </w:rPr>
        <w:t xml:space="preserve">case </w:t>
      </w:r>
      <w:r>
        <w:rPr>
          <w:rFonts w:ascii="Times New Roman" w:eastAsia="宋体" w:hAnsi="Times New Roman" w:cs="Times New Roman" w:hint="eastAsia"/>
          <w:sz w:val="20"/>
          <w:szCs w:val="20"/>
        </w:rPr>
        <w:t>needs to be investigated.</w:t>
      </w:r>
      <w:r>
        <w:rPr>
          <w:rFonts w:ascii="Times New Roman" w:eastAsia="宋体" w:hAnsi="Times New Roman" w:cs="Times New Roman"/>
          <w:sz w:val="20"/>
          <w:szCs w:val="20"/>
        </w:rPr>
        <w:t xml:space="preserve"> In this section, the NPRACH is taken as one example.</w:t>
      </w:r>
    </w:p>
    <w:p w:rsidR="00B26739" w:rsidRDefault="002125CB">
      <w:pPr>
        <w:rPr>
          <w:rFonts w:ascii="Times New Roman" w:eastAsia="宋体" w:hAnsi="Times New Roman" w:cs="Times New Roman"/>
          <w:sz w:val="20"/>
          <w:szCs w:val="20"/>
        </w:rPr>
      </w:pPr>
      <w:r>
        <w:rPr>
          <w:rFonts w:ascii="Times New Roman" w:eastAsia="宋体" w:hAnsi="Times New Roman" w:cs="Times New Roman" w:hint="eastAsia"/>
          <w:sz w:val="20"/>
          <w:szCs w:val="20"/>
        </w:rPr>
        <w:t>In NB-IoT, the number of NPRACH opportunities per second can be calculated as:</w:t>
      </w:r>
    </w:p>
    <w:p w:rsidR="00B26739" w:rsidRDefault="002125CB">
      <w:pPr>
        <w:jc w:val="center"/>
        <w:rPr>
          <w:rFonts w:eastAsia="宋体"/>
        </w:rPr>
      </w:pPr>
      <w:r>
        <w:rPr>
          <w:rFonts w:eastAsia="宋体" w:hint="eastAsia"/>
          <w:position w:val="-32"/>
        </w:rPr>
        <w:object w:dxaOrig="1390" w:dyaOrig="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pt;height:36.9pt" o:ole="">
            <v:imagedata r:id="rId9" o:title=""/>
          </v:shape>
          <o:OLEObject Type="Embed" ProgID="Equation.KSEE3" ShapeID="_x0000_i1025" DrawAspect="Content" ObjectID="_1664981489" r:id="rId10"/>
        </w:object>
      </w:r>
      <w:r>
        <w:rPr>
          <w:rFonts w:eastAsia="宋体" w:hint="eastAsia"/>
        </w:rPr>
        <w:t>,</w:t>
      </w:r>
    </w:p>
    <w:p w:rsidR="00B26739" w:rsidRDefault="002125CB">
      <w:pPr>
        <w:rPr>
          <w:rFonts w:ascii="Times New Roman" w:eastAsia="宋体" w:hAnsi="Times New Roman" w:cs="Times New Roman"/>
          <w:sz w:val="20"/>
          <w:szCs w:val="20"/>
        </w:rPr>
      </w:pPr>
      <w:proofErr w:type="gramStart"/>
      <w:r>
        <w:rPr>
          <w:rFonts w:ascii="Times New Roman" w:eastAsia="宋体" w:hAnsi="Times New Roman" w:cs="Times New Roman"/>
          <w:sz w:val="20"/>
          <w:szCs w:val="20"/>
        </w:rPr>
        <w:lastRenderedPageBreak/>
        <w:t>where</w:t>
      </w:r>
      <w:proofErr w:type="gramEnd"/>
      <w:r>
        <w:rPr>
          <w:rFonts w:ascii="Times New Roman" w:eastAsia="宋体" w:hAnsi="Times New Roman" w:cs="Times New Roman"/>
          <w:sz w:val="20"/>
          <w:szCs w:val="20"/>
        </w:rPr>
        <w:t xml:space="preserve"> </w:t>
      </w:r>
      <w:r>
        <w:rPr>
          <w:rFonts w:ascii="Times New Roman" w:eastAsia="宋体" w:hAnsi="Times New Roman" w:cs="Times New Roman"/>
          <w:position w:val="-14"/>
          <w:sz w:val="20"/>
          <w:szCs w:val="20"/>
        </w:rPr>
        <w:object w:dxaOrig="864" w:dyaOrig="401">
          <v:shape id="_x0000_i1026" type="#_x0000_t75" style="width:43.3pt;height:20.05pt" o:ole="">
            <v:imagedata r:id="rId11" o:title=""/>
          </v:shape>
          <o:OLEObject Type="Embed" ProgID="Equation.KSEE3" ShapeID="_x0000_i1026" DrawAspect="Content" ObjectID="_1664981490" r:id="rId12"/>
        </w:object>
      </w:r>
      <w:r>
        <w:rPr>
          <w:rFonts w:ascii="Times New Roman" w:eastAsia="宋体" w:hAnsi="Times New Roman" w:cs="Times New Roman"/>
          <w:sz w:val="20"/>
          <w:szCs w:val="20"/>
        </w:rPr>
        <w:t xml:space="preserve"> is the NPRACH resource periodicity and </w:t>
      </w:r>
      <w:r>
        <w:rPr>
          <w:rFonts w:ascii="Times New Roman" w:eastAsia="宋体" w:hAnsi="Times New Roman" w:cs="Times New Roman"/>
          <w:position w:val="-12"/>
          <w:sz w:val="20"/>
          <w:szCs w:val="20"/>
        </w:rPr>
        <w:object w:dxaOrig="864" w:dyaOrig="376">
          <v:shape id="_x0000_i1027" type="#_x0000_t75" style="width:43.3pt;height:18.7pt" o:ole="">
            <v:imagedata r:id="rId13" o:title=""/>
          </v:shape>
          <o:OLEObject Type="Embed" ProgID="Equation.KSEE3" ShapeID="_x0000_i1027" DrawAspect="Content" ObjectID="_1664981491" r:id="rId14"/>
        </w:object>
      </w:r>
      <w:r>
        <w:rPr>
          <w:rFonts w:ascii="Times New Roman" w:eastAsia="宋体" w:hAnsi="Times New Roman" w:cs="Times New Roman"/>
          <w:sz w:val="20"/>
          <w:szCs w:val="20"/>
        </w:rPr>
        <w:t xml:space="preserve"> is the number of sub-carriers allocated to NPRACH. Besides, the number of sub-carriers allocated to contention based NPARCH is denoted by</w:t>
      </w:r>
      <w:r>
        <w:rPr>
          <w:rFonts w:ascii="Times New Roman" w:eastAsia="宋体" w:hAnsi="Times New Roman" w:cs="Times New Roman"/>
          <w:position w:val="-14"/>
          <w:sz w:val="20"/>
          <w:szCs w:val="20"/>
        </w:rPr>
        <w:object w:dxaOrig="864" w:dyaOrig="401">
          <v:shape id="_x0000_i1028" type="#_x0000_t75" style="width:43.3pt;height:20.05pt" o:ole="">
            <v:imagedata r:id="rId15" o:title=""/>
          </v:shape>
          <o:OLEObject Type="Embed" ProgID="Equation.KSEE3" ShapeID="_x0000_i1028" DrawAspect="Content" ObjectID="_1664981492" r:id="rId16"/>
        </w:object>
      </w:r>
      <w:r>
        <w:rPr>
          <w:rFonts w:ascii="Times New Roman" w:eastAsia="宋体" w:hAnsi="Times New Roman" w:cs="Times New Roman"/>
          <w:sz w:val="20"/>
          <w:szCs w:val="20"/>
        </w:rPr>
        <w:t xml:space="preserve">. The possible value ranges of the parameters are defined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_Ref54079037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9E44F6">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are presented as follows:</w:t>
      </w:r>
    </w:p>
    <w:p w:rsidR="00B26739" w:rsidRDefault="002125CB">
      <w:pPr>
        <w:pStyle w:val="Caption"/>
        <w:keepNext/>
        <w:rPr>
          <w:b w:val="0"/>
        </w:rPr>
      </w:pPr>
      <w:r>
        <w:rPr>
          <w:b w:val="0"/>
        </w:rPr>
        <w:t xml:space="preserve">Table </w:t>
      </w:r>
      <w:r>
        <w:rPr>
          <w:b w:val="0"/>
        </w:rPr>
        <w:fldChar w:fldCharType="begin"/>
      </w:r>
      <w:r>
        <w:rPr>
          <w:b w:val="0"/>
        </w:rPr>
        <w:instrText xml:space="preserve"> SEQ Table \* ARABIC </w:instrText>
      </w:r>
      <w:r>
        <w:rPr>
          <w:b w:val="0"/>
        </w:rPr>
        <w:fldChar w:fldCharType="separate"/>
      </w:r>
      <w:r w:rsidR="009E44F6">
        <w:rPr>
          <w:b w:val="0"/>
          <w:noProof/>
        </w:rPr>
        <w:t>5</w:t>
      </w:r>
      <w:r>
        <w:rPr>
          <w:b w:val="0"/>
        </w:rPr>
        <w:fldChar w:fldCharType="end"/>
      </w:r>
      <w:r>
        <w:rPr>
          <w:b w:val="0"/>
        </w:rPr>
        <w:t xml:space="preserve"> The NPRACH parameters for different NPRACH formats </w:t>
      </w:r>
    </w:p>
    <w:tbl>
      <w:tblPr>
        <w:tblW w:w="6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1652"/>
        <w:gridCol w:w="1815"/>
        <w:gridCol w:w="1800"/>
      </w:tblGrid>
      <w:tr w:rsidR="00B26739">
        <w:trPr>
          <w:jc w:val="center"/>
        </w:trPr>
        <w:tc>
          <w:tcPr>
            <w:tcW w:w="1602" w:type="dxa"/>
            <w:shd w:val="clear" w:color="auto" w:fill="D9D9D9"/>
          </w:tcPr>
          <w:p w:rsidR="00B26739" w:rsidRDefault="00B26739">
            <w:pPr>
              <w:rPr>
                <w:rFonts w:ascii="Times New Roman" w:eastAsia="宋体" w:hAnsi="Times New Roman" w:cs="Times New Roman"/>
                <w:sz w:val="20"/>
                <w:szCs w:val="20"/>
              </w:rPr>
            </w:pPr>
          </w:p>
        </w:tc>
        <w:tc>
          <w:tcPr>
            <w:tcW w:w="1652" w:type="dxa"/>
            <w:shd w:val="clear" w:color="auto" w:fill="D9D9D9"/>
          </w:tcPr>
          <w:p w:rsidR="00B26739" w:rsidRDefault="002125CB">
            <w:pPr>
              <w:rPr>
                <w:rFonts w:ascii="Times New Roman" w:eastAsia="宋体" w:hAnsi="Times New Roman" w:cs="Times New Roman"/>
                <w:sz w:val="20"/>
                <w:szCs w:val="20"/>
              </w:rPr>
            </w:pPr>
            <w:r>
              <w:rPr>
                <w:rFonts w:ascii="Times New Roman" w:eastAsia="宋体" w:hAnsi="Times New Roman" w:cs="Times New Roman"/>
                <w:position w:val="-14"/>
                <w:sz w:val="20"/>
                <w:szCs w:val="20"/>
              </w:rPr>
              <w:object w:dxaOrig="864" w:dyaOrig="401">
                <v:shape id="_x0000_i1029" type="#_x0000_t75" style="width:43.3pt;height:20.05pt" o:ole="">
                  <v:imagedata r:id="rId17" o:title=""/>
                </v:shape>
                <o:OLEObject Type="Embed" ProgID="Equation.KSEE3" ShapeID="_x0000_i1029" DrawAspect="Content" ObjectID="_1664981493" r:id="rId18"/>
              </w:object>
            </w:r>
            <w:r>
              <w:rPr>
                <w:rFonts w:ascii="Times New Roman" w:eastAsia="宋体" w:hAnsi="Times New Roman" w:cs="Times New Roman"/>
                <w:sz w:val="20"/>
                <w:szCs w:val="20"/>
              </w:rPr>
              <w:t>(ms)</w:t>
            </w:r>
          </w:p>
        </w:tc>
        <w:tc>
          <w:tcPr>
            <w:tcW w:w="1815" w:type="dxa"/>
            <w:shd w:val="clear" w:color="auto" w:fill="D9D9D9"/>
          </w:tcPr>
          <w:p w:rsidR="00B26739" w:rsidRDefault="002125CB">
            <w:pPr>
              <w:rPr>
                <w:rFonts w:ascii="Times New Roman" w:eastAsia="宋体" w:hAnsi="Times New Roman" w:cs="Times New Roman"/>
                <w:sz w:val="20"/>
                <w:szCs w:val="20"/>
              </w:rPr>
            </w:pPr>
            <w:r>
              <w:rPr>
                <w:rFonts w:ascii="Times New Roman" w:eastAsia="宋体" w:hAnsi="Times New Roman" w:cs="Times New Roman"/>
                <w:position w:val="-12"/>
                <w:sz w:val="20"/>
                <w:szCs w:val="20"/>
              </w:rPr>
              <w:object w:dxaOrig="864" w:dyaOrig="376">
                <v:shape id="_x0000_i1030" type="#_x0000_t75" style="width:43.3pt;height:18.7pt" o:ole="">
                  <v:imagedata r:id="rId19" o:title=""/>
                </v:shape>
                <o:OLEObject Type="Embed" ProgID="Equation.KSEE3" ShapeID="_x0000_i1030" DrawAspect="Content" ObjectID="_1664981494" r:id="rId20"/>
              </w:object>
            </w:r>
          </w:p>
        </w:tc>
        <w:tc>
          <w:tcPr>
            <w:tcW w:w="1800" w:type="dxa"/>
            <w:shd w:val="clear" w:color="auto" w:fill="D9D9D9"/>
          </w:tcPr>
          <w:p w:rsidR="00B26739" w:rsidRDefault="002125CB">
            <w:pPr>
              <w:rPr>
                <w:rFonts w:ascii="Times New Roman" w:eastAsia="宋体" w:hAnsi="Times New Roman" w:cs="Times New Roman"/>
                <w:sz w:val="20"/>
                <w:szCs w:val="20"/>
              </w:rPr>
            </w:pPr>
            <w:r>
              <w:rPr>
                <w:rFonts w:ascii="Times New Roman" w:eastAsia="宋体" w:hAnsi="Times New Roman" w:cs="Times New Roman"/>
                <w:position w:val="-14"/>
                <w:sz w:val="20"/>
                <w:szCs w:val="20"/>
              </w:rPr>
              <w:object w:dxaOrig="864" w:dyaOrig="401">
                <v:shape id="_x0000_i1031" type="#_x0000_t75" style="width:43.3pt;height:20.05pt" o:ole="">
                  <v:imagedata r:id="rId21" o:title=""/>
                </v:shape>
                <o:OLEObject Type="Embed" ProgID="Equation.KSEE3" ShapeID="_x0000_i1031" DrawAspect="Content" ObjectID="_1664981495" r:id="rId22"/>
              </w:object>
            </w:r>
          </w:p>
        </w:tc>
      </w:tr>
      <w:tr w:rsidR="00B26739">
        <w:trPr>
          <w:jc w:val="center"/>
        </w:trPr>
        <w:tc>
          <w:tcPr>
            <w:tcW w:w="1602"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FDD-format 0,1</w:t>
            </w:r>
          </w:p>
        </w:tc>
        <w:tc>
          <w:tcPr>
            <w:tcW w:w="1652"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40-2560</w:t>
            </w:r>
          </w:p>
        </w:tc>
        <w:tc>
          <w:tcPr>
            <w:tcW w:w="1815"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12-48</w:t>
            </w:r>
          </w:p>
        </w:tc>
        <w:tc>
          <w:tcPr>
            <w:tcW w:w="1800"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8-48</w:t>
            </w:r>
          </w:p>
        </w:tc>
      </w:tr>
      <w:tr w:rsidR="00B26739">
        <w:trPr>
          <w:jc w:val="center"/>
        </w:trPr>
        <w:tc>
          <w:tcPr>
            <w:tcW w:w="1602"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FDD-format 2</w:t>
            </w:r>
          </w:p>
        </w:tc>
        <w:tc>
          <w:tcPr>
            <w:tcW w:w="1652"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40-5120</w:t>
            </w:r>
          </w:p>
        </w:tc>
        <w:tc>
          <w:tcPr>
            <w:tcW w:w="1815"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36-144</w:t>
            </w:r>
          </w:p>
        </w:tc>
        <w:tc>
          <w:tcPr>
            <w:tcW w:w="1800"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24-144</w:t>
            </w:r>
          </w:p>
        </w:tc>
      </w:tr>
      <w:tr w:rsidR="00B26739">
        <w:trPr>
          <w:jc w:val="center"/>
        </w:trPr>
        <w:tc>
          <w:tcPr>
            <w:tcW w:w="1602"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TDD</w:t>
            </w:r>
          </w:p>
        </w:tc>
        <w:tc>
          <w:tcPr>
            <w:tcW w:w="1652"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80-10240</w:t>
            </w:r>
          </w:p>
        </w:tc>
        <w:tc>
          <w:tcPr>
            <w:tcW w:w="1815"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12-48</w:t>
            </w:r>
          </w:p>
        </w:tc>
        <w:tc>
          <w:tcPr>
            <w:tcW w:w="1800"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8-48</w:t>
            </w:r>
          </w:p>
        </w:tc>
      </w:tr>
    </w:tbl>
    <w:p w:rsidR="00B26739" w:rsidRDefault="002125CB">
      <w:pPr>
        <w:spacing w:beforeLines="50" w:before="12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Therefore the maximal value of </w:t>
      </w:r>
      <w:r>
        <w:rPr>
          <w:rFonts w:ascii="Times New Roman" w:eastAsia="宋体" w:hAnsi="Times New Roman" w:cs="Times New Roman"/>
          <w:position w:val="-4"/>
          <w:sz w:val="20"/>
          <w:szCs w:val="20"/>
        </w:rPr>
        <w:object w:dxaOrig="326" w:dyaOrig="250">
          <v:shape id="_x0000_i1032" type="#_x0000_t75" style="width:16.4pt;height:12.3pt" o:ole="">
            <v:imagedata r:id="rId23" o:title=""/>
          </v:shape>
          <o:OLEObject Type="Embed" ProgID="Equation.KSEE3" ShapeID="_x0000_i1032" DrawAspect="Content" ObjectID="_1664981496" r:id="rId24"/>
        </w:object>
      </w:r>
      <w:r>
        <w:rPr>
          <w:rFonts w:ascii="Times New Roman" w:eastAsia="宋体" w:hAnsi="Times New Roman" w:cs="Times New Roman"/>
          <w:sz w:val="20"/>
          <w:szCs w:val="20"/>
        </w:rPr>
        <w:t xml:space="preserve"> is</w:t>
      </w:r>
      <w:r>
        <w:rPr>
          <w:rFonts w:ascii="Times New Roman" w:eastAsia="宋体" w:hAnsi="Times New Roman" w:cs="Times New Roman"/>
          <w:position w:val="-6"/>
          <w:sz w:val="20"/>
          <w:szCs w:val="20"/>
        </w:rPr>
        <w:object w:dxaOrig="1678" w:dyaOrig="275">
          <v:shape id="_x0000_i1033" type="#_x0000_t75" style="width:83.85pt;height:13.65pt" o:ole="">
            <v:imagedata r:id="rId25" o:title=""/>
          </v:shape>
          <o:OLEObject Type="Embed" ProgID="Equation.KSEE3" ShapeID="_x0000_i1033" DrawAspect="Content" ObjectID="_1664981497" r:id="rId26"/>
        </w:object>
      </w:r>
      <w:r>
        <w:rPr>
          <w:rFonts w:ascii="Times New Roman" w:eastAsia="宋体" w:hAnsi="Times New Roman" w:cs="Times New Roman"/>
          <w:sz w:val="20"/>
          <w:szCs w:val="20"/>
        </w:rPr>
        <w:t xml:space="preserve">. However, if the repetition number is configured to be large for coverage enhancement, the preamble may be longer than 40 </w:t>
      </w:r>
      <w:proofErr w:type="gramStart"/>
      <w:r>
        <w:rPr>
          <w:rFonts w:ascii="Times New Roman" w:eastAsia="宋体" w:hAnsi="Times New Roman" w:cs="Times New Roman"/>
          <w:sz w:val="20"/>
          <w:szCs w:val="20"/>
        </w:rPr>
        <w:t>ms</w:t>
      </w:r>
      <w:proofErr w:type="gramEnd"/>
      <w:r>
        <w:rPr>
          <w:rFonts w:ascii="Times New Roman" w:eastAsia="宋体" w:hAnsi="Times New Roman" w:cs="Times New Roman"/>
          <w:sz w:val="20"/>
          <w:szCs w:val="20"/>
        </w:rPr>
        <w:t xml:space="preserve">. Then the network needs to configure a larger periodicity, which means that the NPRACH opportunity number </w:t>
      </w:r>
      <w:r>
        <w:rPr>
          <w:rFonts w:ascii="Times New Roman" w:eastAsia="宋体" w:hAnsi="Times New Roman" w:cs="Times New Roman"/>
          <w:position w:val="-4"/>
          <w:sz w:val="20"/>
          <w:szCs w:val="20"/>
        </w:rPr>
        <w:object w:dxaOrig="326" w:dyaOrig="250">
          <v:shape id="_x0000_i1034" type="#_x0000_t75" style="width:16.4pt;height:12.3pt" o:ole="">
            <v:imagedata r:id="rId27" o:title=""/>
          </v:shape>
          <o:OLEObject Type="Embed" ProgID="Equation.KSEE3" ShapeID="_x0000_i1034" DrawAspect="Content" ObjectID="_1664981498" r:id="rId28"/>
        </w:object>
      </w:r>
      <w:r>
        <w:rPr>
          <w:rFonts w:ascii="Times New Roman" w:eastAsia="宋体" w:hAnsi="Times New Roman" w:cs="Times New Roman"/>
          <w:sz w:val="20"/>
          <w:szCs w:val="20"/>
        </w:rPr>
        <w:t xml:space="preserve"> will be reduced.</w:t>
      </w:r>
    </w:p>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Annex E.2 of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_Ref14051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9E44F6">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random access of IoT device is mainly triggered by periodic UL reports of Mobile Autonomous Reporting (MAR) and network command. The periodicity of the two events are assumed to be 1 day (40%), 2 hours (40%), 1 hour (15%), and 30 minutes (5%). But only 50% of the network commands will cause UL report. Assume for each UL report, the NPRACH attempt number is 1. Then the number of NPRACH attempts per second per UE can be assumed to be 1.9444e-04.</w:t>
      </w:r>
    </w:p>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 xml:space="preserve">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_Ref54082925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9E44F6">
        <w:rPr>
          <w:rFonts w:ascii="Times New Roman" w:eastAsia="宋体" w:hAnsi="Times New Roman" w:cs="Times New Roman"/>
          <w:sz w:val="20"/>
          <w:szCs w:val="20"/>
        </w:rPr>
        <w:t>[8]</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given a constraint for NPRACH preamble collision probability, the arrival rate of random access in an NPRACH resource should be no more than </w:t>
      </w:r>
      <w:r>
        <w:rPr>
          <w:rFonts w:ascii="Times New Roman" w:eastAsia="宋体" w:hAnsi="Times New Roman" w:cs="Times New Roman"/>
          <w:position w:val="-14"/>
          <w:sz w:val="20"/>
          <w:szCs w:val="20"/>
        </w:rPr>
        <w:object w:dxaOrig="764" w:dyaOrig="376">
          <v:shape id="_x0000_i1035" type="#_x0000_t75" style="width:38.3pt;height:18.7pt" o:ole="">
            <v:imagedata r:id="rId29" o:title=""/>
          </v:shape>
          <o:OLEObject Type="Embed" ProgID="Equation.KSEE3" ShapeID="_x0000_i1035" DrawAspect="Content" ObjectID="_1664981499" r:id="rId30"/>
        </w:object>
      </w:r>
      <w:r>
        <w:rPr>
          <w:rFonts w:ascii="Times New Roman" w:eastAsia="宋体" w:hAnsi="Times New Roman" w:cs="Times New Roman"/>
          <w:sz w:val="20"/>
          <w:szCs w:val="20"/>
        </w:rPr>
        <w:t xml:space="preserve"> which is calculated as follows:</w:t>
      </w:r>
    </w:p>
    <w:p w:rsidR="00B26739" w:rsidRDefault="002125CB">
      <w:pPr>
        <w:jc w:val="center"/>
        <w:rPr>
          <w:rFonts w:ascii="Times New Roman" w:eastAsia="宋体" w:hAnsi="Times New Roman" w:cs="Times New Roman"/>
          <w:sz w:val="20"/>
          <w:szCs w:val="20"/>
        </w:rPr>
      </w:pPr>
      <w:r>
        <w:rPr>
          <w:rFonts w:ascii="Times New Roman" w:eastAsia="宋体" w:hAnsi="Times New Roman" w:cs="Times New Roman"/>
          <w:position w:val="-14"/>
          <w:sz w:val="20"/>
          <w:szCs w:val="20"/>
        </w:rPr>
        <w:object w:dxaOrig="3381" w:dyaOrig="376">
          <v:shape id="_x0000_i1036" type="#_x0000_t75" style="width:169.05pt;height:18.7pt" o:ole="">
            <v:imagedata r:id="rId31" o:title=""/>
          </v:shape>
          <o:OLEObject Type="Embed" ProgID="Equation.KSEE3" ShapeID="_x0000_i1036" DrawAspect="Content" ObjectID="_1664981500" r:id="rId32"/>
        </w:object>
      </w:r>
      <w:r>
        <w:rPr>
          <w:rFonts w:ascii="Times New Roman" w:eastAsia="宋体" w:hAnsi="Times New Roman" w:cs="Times New Roman"/>
          <w:sz w:val="20"/>
          <w:szCs w:val="20"/>
        </w:rPr>
        <w:t>,</w:t>
      </w:r>
    </w:p>
    <w:p w:rsidR="00B26739" w:rsidRDefault="002125CB">
      <w:pPr>
        <w:rPr>
          <w:rFonts w:ascii="Times New Roman" w:eastAsia="宋体" w:hAnsi="Times New Roman" w:cs="Times New Roman"/>
          <w:sz w:val="20"/>
          <w:szCs w:val="20"/>
        </w:rPr>
      </w:pPr>
      <w:proofErr w:type="gramStart"/>
      <w:r>
        <w:rPr>
          <w:rFonts w:ascii="Times New Roman" w:eastAsia="宋体" w:hAnsi="Times New Roman" w:cs="Times New Roman"/>
          <w:sz w:val="20"/>
          <w:szCs w:val="20"/>
        </w:rPr>
        <w:t>where</w:t>
      </w:r>
      <w:proofErr w:type="gramEnd"/>
      <w:r>
        <w:rPr>
          <w:rFonts w:ascii="Times New Roman" w:eastAsia="宋体" w:hAnsi="Times New Roman" w:cs="Times New Roman"/>
          <w:sz w:val="20"/>
          <w:szCs w:val="20"/>
        </w:rPr>
        <w:t xml:space="preserve"> M is the number of configured access opportunities per second, and </w:t>
      </w:r>
      <w:r>
        <w:rPr>
          <w:rFonts w:ascii="Times New Roman" w:eastAsia="宋体" w:hAnsi="Times New Roman" w:cs="Times New Roman"/>
          <w:position w:val="-10"/>
          <w:sz w:val="20"/>
          <w:szCs w:val="20"/>
        </w:rPr>
        <w:object w:dxaOrig="1240" w:dyaOrig="326">
          <v:shape id="_x0000_i1037" type="#_x0000_t75" style="width:61.95pt;height:16.4pt" o:ole="">
            <v:imagedata r:id="rId33" o:title=""/>
          </v:shape>
          <o:OLEObject Type="Embed" ProgID="Equation.KSEE3" ShapeID="_x0000_i1037" DrawAspect="Content" ObjectID="_1664981501" r:id="rId34"/>
        </w:object>
      </w:r>
      <w:r>
        <w:rPr>
          <w:rFonts w:ascii="Times New Roman" w:eastAsia="宋体" w:hAnsi="Times New Roman" w:cs="Times New Roman"/>
          <w:sz w:val="20"/>
          <w:szCs w:val="20"/>
        </w:rPr>
        <w:t xml:space="preserve"> is the constraint for collision probability. After Rel.14, the non-anchor carriers can also be used to transmit NPRACH preamble. An NB-IoT cell can be configured to have no more than 16 carriers. The supported user densities UE density is thus given by:</w:t>
      </w:r>
    </w:p>
    <w:p w:rsidR="00B26739" w:rsidRDefault="002125CB">
      <w:pPr>
        <w:jc w:val="center"/>
        <w:rPr>
          <w:rFonts w:ascii="Times New Roman" w:eastAsia="宋体" w:hAnsi="Times New Roman" w:cs="Times New Roman"/>
          <w:sz w:val="20"/>
          <w:szCs w:val="20"/>
        </w:rPr>
      </w:pPr>
      <w:r>
        <w:rPr>
          <w:rFonts w:ascii="Times New Roman" w:eastAsia="宋体" w:hAnsi="Times New Roman" w:cs="Times New Roman"/>
          <w:position w:val="-28"/>
          <w:sz w:val="20"/>
          <w:szCs w:val="20"/>
        </w:rPr>
        <w:object w:dxaOrig="6223" w:dyaOrig="701">
          <v:shape id="_x0000_i1038" type="#_x0000_t75" style="width:311.25pt;height:35.1pt" o:ole="">
            <v:imagedata r:id="rId35" o:title=""/>
          </v:shape>
          <o:OLEObject Type="Embed" ProgID="Equation.KSEE3" ShapeID="_x0000_i1038" DrawAspect="Content" ObjectID="_1664981502" r:id="rId36"/>
        </w:object>
      </w:r>
    </w:p>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 xml:space="preserve">Given the maximal value of </w:t>
      </w:r>
      <w:r>
        <w:rPr>
          <w:rFonts w:ascii="Times New Roman" w:eastAsia="宋体" w:hAnsi="Times New Roman" w:cs="Times New Roman"/>
          <w:position w:val="-4"/>
          <w:sz w:val="20"/>
          <w:szCs w:val="20"/>
        </w:rPr>
        <w:object w:dxaOrig="326" w:dyaOrig="250">
          <v:shape id="_x0000_i1039" type="#_x0000_t75" style="width:16.4pt;height:12.3pt" o:ole="">
            <v:imagedata r:id="rId37" o:title=""/>
          </v:shape>
          <o:OLEObject Type="Embed" ProgID="Equation.KSEE3" ShapeID="_x0000_i1039" DrawAspect="Content" ObjectID="_1664981503" r:id="rId38"/>
        </w:object>
      </w:r>
      <w:r>
        <w:rPr>
          <w:rFonts w:ascii="Times New Roman" w:eastAsia="宋体" w:hAnsi="Times New Roman" w:cs="Times New Roman"/>
          <w:sz w:val="20"/>
          <w:szCs w:val="20"/>
        </w:rPr>
        <w:t xml:space="preserve"> </w:t>
      </w:r>
      <w:proofErr w:type="gramStart"/>
      <w:r>
        <w:rPr>
          <w:rFonts w:ascii="Times New Roman" w:eastAsia="宋体" w:hAnsi="Times New Roman" w:cs="Times New Roman"/>
          <w:sz w:val="20"/>
          <w:szCs w:val="20"/>
        </w:rPr>
        <w:t xml:space="preserve">and </w:t>
      </w:r>
      <w:proofErr w:type="gramEnd"/>
      <w:r>
        <w:rPr>
          <w:rFonts w:ascii="Times New Roman" w:eastAsia="宋体" w:hAnsi="Times New Roman" w:cs="Times New Roman"/>
          <w:position w:val="-10"/>
          <w:sz w:val="20"/>
          <w:szCs w:val="20"/>
        </w:rPr>
        <w:object w:dxaOrig="1878" w:dyaOrig="326">
          <v:shape id="_x0000_i1040" type="#_x0000_t75" style="width:93.4pt;height:16.4pt" o:ole="">
            <v:imagedata r:id="rId39" o:title=""/>
          </v:shape>
          <o:OLEObject Type="Embed" ProgID="Equation.KSEE3" ShapeID="_x0000_i1040" DrawAspect="Content" ObjectID="_1664981504" r:id="rId40"/>
        </w:object>
      </w:r>
      <w:r>
        <w:rPr>
          <w:rFonts w:ascii="Times New Roman" w:eastAsia="宋体" w:hAnsi="Times New Roman" w:cs="Times New Roman"/>
          <w:sz w:val="20"/>
          <w:szCs w:val="20"/>
        </w:rPr>
        <w:t xml:space="preserve">, the supported UE densities of different cell sizes are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_Ref54083000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9E44F6" w:rsidRPr="009E44F6">
        <w:rPr>
          <w:rFonts w:ascii="Times New Roman" w:eastAsia="宋体" w:hAnsi="Times New Roman" w:cs="Times New Roman"/>
          <w:sz w:val="20"/>
          <w:szCs w:val="20"/>
        </w:rPr>
        <w:t>Table 6</w:t>
      </w:r>
      <w:r>
        <w:rPr>
          <w:rFonts w:ascii="Times New Roman" w:eastAsia="宋体" w:hAnsi="Times New Roman" w:cs="Times New Roman"/>
          <w:sz w:val="20"/>
          <w:szCs w:val="20"/>
        </w:rPr>
        <w:fldChar w:fldCharType="end"/>
      </w:r>
      <w:r w:rsidR="000515C4">
        <w:rPr>
          <w:rFonts w:ascii="Times New Roman" w:eastAsia="宋体" w:hAnsi="Times New Roman" w:cs="Times New Roman"/>
          <w:sz w:val="20"/>
          <w:szCs w:val="20"/>
        </w:rPr>
        <w:t>.</w:t>
      </w:r>
    </w:p>
    <w:p w:rsidR="00B26739" w:rsidRPr="000515C4" w:rsidRDefault="002125CB">
      <w:pPr>
        <w:pStyle w:val="Caption"/>
        <w:keepNext/>
        <w:rPr>
          <w:b w:val="0"/>
        </w:rPr>
      </w:pPr>
      <w:bookmarkStart w:id="11" w:name="_Ref54083000"/>
      <w:r w:rsidRPr="000515C4">
        <w:rPr>
          <w:b w:val="0"/>
        </w:rPr>
        <w:t xml:space="preserve">Table </w:t>
      </w:r>
      <w:r w:rsidRPr="000515C4">
        <w:rPr>
          <w:b w:val="0"/>
        </w:rPr>
        <w:fldChar w:fldCharType="begin"/>
      </w:r>
      <w:r w:rsidRPr="000515C4">
        <w:rPr>
          <w:b w:val="0"/>
        </w:rPr>
        <w:instrText xml:space="preserve"> SEQ Table \* ARABIC </w:instrText>
      </w:r>
      <w:r w:rsidRPr="000515C4">
        <w:rPr>
          <w:b w:val="0"/>
        </w:rPr>
        <w:fldChar w:fldCharType="separate"/>
      </w:r>
      <w:r w:rsidR="009E44F6" w:rsidRPr="000515C4">
        <w:rPr>
          <w:b w:val="0"/>
          <w:noProof/>
        </w:rPr>
        <w:t>6</w:t>
      </w:r>
      <w:r w:rsidRPr="000515C4">
        <w:rPr>
          <w:b w:val="0"/>
        </w:rPr>
        <w:fldChar w:fldCharType="end"/>
      </w:r>
      <w:bookmarkEnd w:id="11"/>
      <w:r w:rsidRPr="000515C4">
        <w:rPr>
          <w:b w:val="0"/>
        </w:rPr>
        <w:t xml:space="preserve"> </w:t>
      </w:r>
      <w:proofErr w:type="gramStart"/>
      <w:r w:rsidRPr="000515C4">
        <w:rPr>
          <w:rFonts w:hint="eastAsia"/>
          <w:b w:val="0"/>
        </w:rPr>
        <w:t>The</w:t>
      </w:r>
      <w:proofErr w:type="gramEnd"/>
      <w:r w:rsidRPr="000515C4">
        <w:rPr>
          <w:rFonts w:hint="eastAsia"/>
          <w:b w:val="0"/>
        </w:rPr>
        <w:t xml:space="preserve"> supported UE density of different NTN scenario</w:t>
      </w:r>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2895"/>
        <w:gridCol w:w="2000"/>
        <w:gridCol w:w="2053"/>
      </w:tblGrid>
      <w:tr w:rsidR="00B26739">
        <w:trPr>
          <w:jc w:val="center"/>
        </w:trPr>
        <w:tc>
          <w:tcPr>
            <w:tcW w:w="741" w:type="dxa"/>
            <w:shd w:val="clear" w:color="auto" w:fill="D9D9D9"/>
          </w:tcPr>
          <w:p w:rsidR="00B26739" w:rsidRDefault="00B26739">
            <w:pPr>
              <w:rPr>
                <w:rFonts w:ascii="Times New Roman" w:eastAsia="宋体" w:hAnsi="Times New Roman" w:cs="Times New Roman"/>
                <w:sz w:val="20"/>
                <w:szCs w:val="20"/>
              </w:rPr>
            </w:pPr>
          </w:p>
        </w:tc>
        <w:tc>
          <w:tcPr>
            <w:tcW w:w="2895" w:type="dxa"/>
            <w:shd w:val="clear" w:color="auto" w:fill="D9D9D9"/>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Coverage (km</w:t>
            </w:r>
            <w:r>
              <w:rPr>
                <w:rFonts w:ascii="Times New Roman" w:eastAsia="宋体" w:hAnsi="Times New Roman" w:cs="Times New Roman"/>
                <w:sz w:val="20"/>
                <w:szCs w:val="20"/>
                <w:vertAlign w:val="superscript"/>
              </w:rPr>
              <w:t>2</w:t>
            </w:r>
            <w:r>
              <w:rPr>
                <w:rFonts w:ascii="Times New Roman" w:eastAsia="宋体" w:hAnsi="Times New Roman" w:cs="Times New Roman"/>
                <w:sz w:val="20"/>
                <w:szCs w:val="20"/>
              </w:rPr>
              <w:t>)</w:t>
            </w:r>
          </w:p>
        </w:tc>
        <w:tc>
          <w:tcPr>
            <w:tcW w:w="2000" w:type="dxa"/>
            <w:shd w:val="clear" w:color="auto" w:fill="D9D9D9"/>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 xml:space="preserve">Supported UE density </w:t>
            </w:r>
          </w:p>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(single carrier)</w:t>
            </w:r>
          </w:p>
        </w:tc>
        <w:tc>
          <w:tcPr>
            <w:tcW w:w="2053" w:type="dxa"/>
            <w:shd w:val="clear" w:color="auto" w:fill="D9D9D9"/>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 xml:space="preserve">Supported UE density </w:t>
            </w:r>
          </w:p>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(16 carriers)</w:t>
            </w:r>
          </w:p>
        </w:tc>
      </w:tr>
      <w:tr w:rsidR="00B26739">
        <w:trPr>
          <w:jc w:val="center"/>
        </w:trPr>
        <w:tc>
          <w:tcPr>
            <w:tcW w:w="741" w:type="dxa"/>
            <w:vMerge w:val="restart"/>
            <w:vAlign w:val="center"/>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GEO</w:t>
            </w:r>
          </w:p>
        </w:tc>
        <w:tc>
          <w:tcPr>
            <w:tcW w:w="2895"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650000 (hex with r=500km)</w:t>
            </w:r>
          </w:p>
        </w:tc>
        <w:tc>
          <w:tcPr>
            <w:tcW w:w="2000"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~0.2863 UE/km</w:t>
            </w:r>
            <w:r>
              <w:rPr>
                <w:rFonts w:ascii="Times New Roman" w:eastAsia="宋体" w:hAnsi="Times New Roman" w:cs="Times New Roman"/>
                <w:sz w:val="20"/>
                <w:szCs w:val="20"/>
                <w:vertAlign w:val="superscript"/>
              </w:rPr>
              <w:t>2</w:t>
            </w:r>
          </w:p>
        </w:tc>
        <w:tc>
          <w:tcPr>
            <w:tcW w:w="2053"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~4.5803 UE/km</w:t>
            </w:r>
            <w:r>
              <w:rPr>
                <w:rFonts w:ascii="Times New Roman" w:eastAsia="宋体" w:hAnsi="Times New Roman" w:cs="Times New Roman"/>
                <w:sz w:val="20"/>
                <w:szCs w:val="20"/>
                <w:vertAlign w:val="superscript"/>
              </w:rPr>
              <w:t>2</w:t>
            </w:r>
          </w:p>
        </w:tc>
      </w:tr>
      <w:tr w:rsidR="00B26739">
        <w:trPr>
          <w:jc w:val="center"/>
        </w:trPr>
        <w:tc>
          <w:tcPr>
            <w:tcW w:w="741" w:type="dxa"/>
            <w:vMerge/>
          </w:tcPr>
          <w:p w:rsidR="00B26739" w:rsidRDefault="00B26739">
            <w:pPr>
              <w:rPr>
                <w:rFonts w:ascii="Times New Roman" w:eastAsia="宋体" w:hAnsi="Times New Roman" w:cs="Times New Roman"/>
                <w:sz w:val="20"/>
                <w:szCs w:val="20"/>
              </w:rPr>
            </w:pPr>
          </w:p>
        </w:tc>
        <w:tc>
          <w:tcPr>
            <w:tcW w:w="2895"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162500 (hex with r=250km)</w:t>
            </w:r>
          </w:p>
        </w:tc>
        <w:tc>
          <w:tcPr>
            <w:tcW w:w="2000"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~1.1451 UE/km</w:t>
            </w:r>
            <w:r>
              <w:rPr>
                <w:rFonts w:ascii="Times New Roman" w:eastAsia="宋体" w:hAnsi="Times New Roman" w:cs="Times New Roman"/>
                <w:sz w:val="20"/>
                <w:szCs w:val="20"/>
                <w:vertAlign w:val="superscript"/>
              </w:rPr>
              <w:t>2</w:t>
            </w:r>
          </w:p>
        </w:tc>
        <w:tc>
          <w:tcPr>
            <w:tcW w:w="2053"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~18.3212 UE/km</w:t>
            </w:r>
            <w:r>
              <w:rPr>
                <w:rFonts w:ascii="Times New Roman" w:eastAsia="宋体" w:hAnsi="Times New Roman" w:cs="Times New Roman"/>
                <w:sz w:val="20"/>
                <w:szCs w:val="20"/>
                <w:vertAlign w:val="superscript"/>
              </w:rPr>
              <w:t>2</w:t>
            </w:r>
          </w:p>
        </w:tc>
      </w:tr>
      <w:tr w:rsidR="00B26739">
        <w:trPr>
          <w:jc w:val="center"/>
        </w:trPr>
        <w:tc>
          <w:tcPr>
            <w:tcW w:w="741" w:type="dxa"/>
            <w:vMerge w:val="restart"/>
            <w:vAlign w:val="center"/>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LEO</w:t>
            </w:r>
          </w:p>
        </w:tc>
        <w:tc>
          <w:tcPr>
            <w:tcW w:w="2895"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26000 (hex with r=100km)</w:t>
            </w:r>
          </w:p>
        </w:tc>
        <w:tc>
          <w:tcPr>
            <w:tcW w:w="2000"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~7.1567 UE/km</w:t>
            </w:r>
            <w:r>
              <w:rPr>
                <w:rFonts w:ascii="Times New Roman" w:eastAsia="宋体" w:hAnsi="Times New Roman" w:cs="Times New Roman"/>
                <w:sz w:val="20"/>
                <w:szCs w:val="20"/>
                <w:vertAlign w:val="superscript"/>
              </w:rPr>
              <w:t>2</w:t>
            </w:r>
          </w:p>
        </w:tc>
        <w:tc>
          <w:tcPr>
            <w:tcW w:w="2053"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~114.5 UE/km</w:t>
            </w:r>
            <w:r>
              <w:rPr>
                <w:rFonts w:ascii="Times New Roman" w:eastAsia="宋体" w:hAnsi="Times New Roman" w:cs="Times New Roman"/>
                <w:sz w:val="20"/>
                <w:szCs w:val="20"/>
                <w:vertAlign w:val="superscript"/>
              </w:rPr>
              <w:t>2</w:t>
            </w:r>
          </w:p>
        </w:tc>
      </w:tr>
      <w:tr w:rsidR="00B26739">
        <w:trPr>
          <w:jc w:val="center"/>
        </w:trPr>
        <w:tc>
          <w:tcPr>
            <w:tcW w:w="741" w:type="dxa"/>
            <w:vMerge/>
          </w:tcPr>
          <w:p w:rsidR="00B26739" w:rsidRDefault="00B26739">
            <w:pPr>
              <w:rPr>
                <w:rFonts w:ascii="Times New Roman" w:eastAsia="宋体" w:hAnsi="Times New Roman" w:cs="Times New Roman"/>
                <w:sz w:val="20"/>
                <w:szCs w:val="20"/>
              </w:rPr>
            </w:pPr>
          </w:p>
        </w:tc>
        <w:tc>
          <w:tcPr>
            <w:tcW w:w="2895"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6500 (hex with r=50km)</w:t>
            </w:r>
          </w:p>
        </w:tc>
        <w:tc>
          <w:tcPr>
            <w:tcW w:w="2000"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~28.63 UE/km</w:t>
            </w:r>
            <w:r>
              <w:rPr>
                <w:rFonts w:ascii="Times New Roman" w:eastAsia="宋体" w:hAnsi="Times New Roman" w:cs="Times New Roman"/>
                <w:sz w:val="20"/>
                <w:szCs w:val="20"/>
                <w:vertAlign w:val="superscript"/>
              </w:rPr>
              <w:t>2</w:t>
            </w:r>
          </w:p>
        </w:tc>
        <w:tc>
          <w:tcPr>
            <w:tcW w:w="2053" w:type="dxa"/>
          </w:tcPr>
          <w:p w:rsidR="00B26739" w:rsidRDefault="002125CB">
            <w:pPr>
              <w:rPr>
                <w:rFonts w:ascii="Times New Roman" w:eastAsia="宋体" w:hAnsi="Times New Roman" w:cs="Times New Roman"/>
                <w:sz w:val="20"/>
                <w:szCs w:val="20"/>
              </w:rPr>
            </w:pPr>
            <w:r>
              <w:rPr>
                <w:rFonts w:ascii="Times New Roman" w:eastAsia="宋体" w:hAnsi="Times New Roman" w:cs="Times New Roman"/>
                <w:sz w:val="20"/>
                <w:szCs w:val="20"/>
              </w:rPr>
              <w:t>~458.03 UE/km</w:t>
            </w:r>
            <w:r>
              <w:rPr>
                <w:rFonts w:ascii="Times New Roman" w:eastAsia="宋体" w:hAnsi="Times New Roman" w:cs="Times New Roman"/>
                <w:sz w:val="20"/>
                <w:szCs w:val="20"/>
                <w:vertAlign w:val="superscript"/>
              </w:rPr>
              <w:t>2</w:t>
            </w:r>
          </w:p>
        </w:tc>
      </w:tr>
    </w:tbl>
    <w:p w:rsidR="00B26739" w:rsidRDefault="00B26739">
      <w:pPr>
        <w:rPr>
          <w:rFonts w:ascii="Times New Roman" w:eastAsia="宋体" w:hAnsi="Times New Roman" w:cs="Times New Roman"/>
          <w:sz w:val="20"/>
          <w:szCs w:val="20"/>
        </w:rPr>
      </w:pPr>
    </w:p>
    <w:p w:rsidR="00B26739" w:rsidRDefault="00B26739">
      <w:pPr>
        <w:rPr>
          <w:rFonts w:ascii="Times New Roman" w:eastAsia="宋体" w:hAnsi="Times New Roman" w:cs="Times New Roman"/>
          <w:sz w:val="20"/>
          <w:szCs w:val="20"/>
        </w:rPr>
      </w:pPr>
    </w:p>
    <w:p w:rsidR="00B26739" w:rsidRDefault="002125CB">
      <w:pPr>
        <w:keepNext/>
        <w:jc w:val="center"/>
      </w:pPr>
      <w:r>
        <w:rPr>
          <w:rFonts w:ascii="Times New Roman" w:eastAsia="宋体" w:hAnsi="Times New Roman" w:cs="Times New Roman"/>
          <w:noProof/>
          <w:sz w:val="20"/>
          <w:szCs w:val="20"/>
        </w:rPr>
        <w:drawing>
          <wp:inline distT="0" distB="0" distL="114300" distR="114300">
            <wp:extent cx="3881755" cy="1766570"/>
            <wp:effectExtent l="0" t="0" r="0" b="0"/>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6"/>
                    <pic:cNvPicPr>
                      <a:picLocks noChangeAspect="1"/>
                    </pic:cNvPicPr>
                  </pic:nvPicPr>
                  <pic:blipFill>
                    <a:blip r:embed="rId41"/>
                    <a:srcRect t="3066" r="34690"/>
                    <a:stretch>
                      <a:fillRect/>
                    </a:stretch>
                  </pic:blipFill>
                  <pic:spPr>
                    <a:xfrm>
                      <a:off x="0" y="0"/>
                      <a:ext cx="3881755" cy="1766570"/>
                    </a:xfrm>
                    <a:prstGeom prst="rect">
                      <a:avLst/>
                    </a:prstGeom>
                    <a:noFill/>
                    <a:ln>
                      <a:noFill/>
                    </a:ln>
                  </pic:spPr>
                </pic:pic>
              </a:graphicData>
            </a:graphic>
          </wp:inline>
        </w:drawing>
      </w:r>
    </w:p>
    <w:p w:rsidR="00B26739" w:rsidRDefault="002125CB">
      <w:pPr>
        <w:pStyle w:val="Caption"/>
        <w:rPr>
          <w:b w:val="0"/>
        </w:rPr>
      </w:pPr>
      <w:bookmarkStart w:id="12" w:name="_Ref54345432"/>
      <w:r>
        <w:rPr>
          <w:b w:val="0"/>
        </w:rPr>
        <w:t xml:space="preserve">Figure </w:t>
      </w:r>
      <w:r>
        <w:rPr>
          <w:b w:val="0"/>
        </w:rPr>
        <w:fldChar w:fldCharType="begin"/>
      </w:r>
      <w:r>
        <w:rPr>
          <w:b w:val="0"/>
        </w:rPr>
        <w:instrText xml:space="preserve"> SEQ Figure \* ARABIC </w:instrText>
      </w:r>
      <w:r>
        <w:rPr>
          <w:b w:val="0"/>
        </w:rPr>
        <w:fldChar w:fldCharType="separate"/>
      </w:r>
      <w:r w:rsidR="009E44F6">
        <w:rPr>
          <w:b w:val="0"/>
          <w:noProof/>
        </w:rPr>
        <w:t>3</w:t>
      </w:r>
      <w:r>
        <w:rPr>
          <w:b w:val="0"/>
        </w:rPr>
        <w:fldChar w:fldCharType="end"/>
      </w:r>
      <w:bookmarkEnd w:id="12"/>
      <w:r>
        <w:rPr>
          <w:b w:val="0"/>
        </w:rPr>
        <w:t xml:space="preserve"> </w:t>
      </w:r>
      <w:proofErr w:type="gramStart"/>
      <w:r>
        <w:rPr>
          <w:rFonts w:hint="eastAsia"/>
          <w:b w:val="0"/>
          <w:sz w:val="24"/>
          <w:szCs w:val="24"/>
        </w:rPr>
        <w:t>The</w:t>
      </w:r>
      <w:proofErr w:type="gramEnd"/>
      <w:r>
        <w:rPr>
          <w:rFonts w:hint="eastAsia"/>
          <w:b w:val="0"/>
          <w:sz w:val="24"/>
          <w:szCs w:val="24"/>
        </w:rPr>
        <w:t xml:space="preserve"> terrestrial cell site sectors</w:t>
      </w:r>
    </w:p>
    <w:p w:rsidR="00B26739" w:rsidRDefault="002125CB">
      <w:pPr>
        <w:rPr>
          <w:rFonts w:ascii="Times New Roman" w:hAnsi="Times New Roman" w:cs="Times New Roman"/>
          <w:sz w:val="20"/>
          <w:szCs w:val="20"/>
        </w:rPr>
      </w:pPr>
      <w:r>
        <w:rPr>
          <w:rFonts w:ascii="Times New Roman" w:eastAsia="宋体" w:hAnsi="Times New Roman" w:cs="Times New Roman"/>
          <w:sz w:val="20"/>
          <w:szCs w:val="20"/>
        </w:rPr>
        <w:t>For a terrestrial network with inter-site Distance (ISD) = 1732 m</w:t>
      </w:r>
      <w:r w:rsidR="000515C4">
        <w:rPr>
          <w:rFonts w:ascii="Times New Roman" w:eastAsia="宋体" w:hAnsi="Times New Roman" w:cs="Times New Roman"/>
          <w:sz w:val="20"/>
          <w:szCs w:val="20"/>
        </w:rPr>
        <w:t xml:space="preserve"> as shown in </w:t>
      </w:r>
      <w:r w:rsidR="000515C4">
        <w:rPr>
          <w:rFonts w:ascii="Times New Roman" w:eastAsia="宋体" w:hAnsi="Times New Roman" w:cs="Times New Roman"/>
          <w:sz w:val="20"/>
          <w:szCs w:val="20"/>
        </w:rPr>
        <w:fldChar w:fldCharType="begin"/>
      </w:r>
      <w:r w:rsidR="000515C4">
        <w:rPr>
          <w:rFonts w:ascii="Times New Roman" w:eastAsia="宋体" w:hAnsi="Times New Roman" w:cs="Times New Roman"/>
          <w:sz w:val="20"/>
          <w:szCs w:val="20"/>
        </w:rPr>
        <w:instrText xml:space="preserve"> REF _Ref54345432 \h  \* MERGEFORMAT </w:instrText>
      </w:r>
      <w:r w:rsidR="000515C4">
        <w:rPr>
          <w:rFonts w:ascii="Times New Roman" w:eastAsia="宋体" w:hAnsi="Times New Roman" w:cs="Times New Roman"/>
          <w:sz w:val="20"/>
          <w:szCs w:val="20"/>
        </w:rPr>
      </w:r>
      <w:r w:rsidR="000515C4">
        <w:rPr>
          <w:rFonts w:ascii="Times New Roman" w:eastAsia="宋体" w:hAnsi="Times New Roman" w:cs="Times New Roman"/>
          <w:sz w:val="20"/>
          <w:szCs w:val="20"/>
        </w:rPr>
        <w:fldChar w:fldCharType="separate"/>
      </w:r>
      <w:r w:rsidR="000515C4" w:rsidRPr="000515C4">
        <w:rPr>
          <w:rFonts w:ascii="Times New Roman" w:eastAsia="宋体" w:hAnsi="Times New Roman" w:cs="Times New Roman"/>
          <w:sz w:val="20"/>
          <w:szCs w:val="20"/>
        </w:rPr>
        <w:t>Figure 3</w:t>
      </w:r>
      <w:r w:rsidR="000515C4">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area of a cell site sector is 0.86 </w:t>
      </w:r>
      <w:r>
        <w:rPr>
          <w:rFonts w:ascii="Times New Roman" w:eastAsia="宋体" w:hAnsi="Times New Roman" w:cs="Times New Roman" w:hint="eastAsia"/>
          <w:sz w:val="20"/>
          <w:szCs w:val="20"/>
        </w:rPr>
        <w:t>k</w:t>
      </w:r>
      <w:r>
        <w:rPr>
          <w:rFonts w:ascii="Times New Roman" w:eastAsia="宋体" w:hAnsi="Times New Roman" w:cs="Times New Roman"/>
          <w:sz w:val="20"/>
          <w:szCs w:val="20"/>
        </w:rPr>
        <w:t>m</w:t>
      </w:r>
      <w:r>
        <w:rPr>
          <w:rFonts w:ascii="Times New Roman" w:eastAsia="宋体" w:hAnsi="Times New Roman" w:cs="Times New Roman"/>
          <w:sz w:val="20"/>
          <w:szCs w:val="20"/>
          <w:vertAlign w:val="superscript"/>
        </w:rPr>
        <w:t>2</w:t>
      </w:r>
      <w:r>
        <w:rPr>
          <w:rFonts w:ascii="Times New Roman" w:eastAsia="宋体" w:hAnsi="Times New Roman" w:cs="Times New Roman"/>
          <w:sz w:val="20"/>
          <w:szCs w:val="20"/>
        </w:rPr>
        <w:t>. Therefore the supported UE density for single carrier is 216370 UE per km</w:t>
      </w:r>
      <w:r>
        <w:rPr>
          <w:rFonts w:ascii="Times New Roman" w:eastAsia="宋体" w:hAnsi="Times New Roman" w:cs="Times New Roman"/>
          <w:sz w:val="20"/>
          <w:szCs w:val="20"/>
          <w:vertAlign w:val="superscript"/>
        </w:rPr>
        <w:t>2</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Moreover, by assuming the number of carriers for NPRACH is configured to be 16, the supported UE density is up to 3461920 UE per km</w:t>
      </w:r>
      <w:r>
        <w:rPr>
          <w:rFonts w:ascii="Times New Roman" w:eastAsia="宋体" w:hAnsi="Times New Roman" w:cs="Times New Roman"/>
          <w:sz w:val="20"/>
          <w:szCs w:val="20"/>
          <w:vertAlign w:val="superscript"/>
        </w:rPr>
        <w:t>2</w:t>
      </w:r>
      <w:r>
        <w:rPr>
          <w:rFonts w:ascii="Times New Roman" w:eastAsia="宋体" w:hAnsi="Times New Roman" w:cs="Times New Roman"/>
          <w:sz w:val="20"/>
          <w:szCs w:val="20"/>
        </w:rPr>
        <w:t xml:space="preserve">. </w:t>
      </w:r>
      <w:r>
        <w:rPr>
          <w:rFonts w:ascii="Times New Roman" w:hAnsi="Times New Roman" w:cs="Times New Roman"/>
          <w:sz w:val="20"/>
          <w:szCs w:val="20"/>
        </w:rPr>
        <w:t xml:space="preserve">It is obvious that the supported UE density in NTN is much smaller than that of the terrestrial network and also not comparable to the actual UE density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_Ref31669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9E44F6">
        <w:rPr>
          <w:rFonts w:ascii="Times New Roman" w:hAnsi="Times New Roman" w:cs="Times New Roman"/>
          <w:sz w:val="20"/>
          <w:szCs w:val="20"/>
        </w:rPr>
        <w:t>[9]</w:t>
      </w:r>
      <w:r>
        <w:rPr>
          <w:rFonts w:ascii="Times New Roman" w:hAnsi="Times New Roman" w:cs="Times New Roman"/>
          <w:sz w:val="20"/>
          <w:szCs w:val="20"/>
        </w:rPr>
        <w:fldChar w:fldCharType="end"/>
      </w:r>
      <w:r>
        <w:rPr>
          <w:rFonts w:ascii="Times New Roman" w:hAnsi="Times New Roman" w:cs="Times New Roman"/>
          <w:sz w:val="20"/>
          <w:szCs w:val="20"/>
        </w:rPr>
        <w:t>.</w:t>
      </w:r>
    </w:p>
    <w:p w:rsidR="00B26739" w:rsidRDefault="002125CB">
      <w:pPr>
        <w:rPr>
          <w:rFonts w:ascii="Times New Roman" w:hAnsi="Times New Roman" w:cs="Times New Roman"/>
          <w:sz w:val="20"/>
          <w:szCs w:val="20"/>
        </w:rPr>
      </w:pPr>
      <w:r>
        <w:rPr>
          <w:rFonts w:ascii="Times New Roman" w:hAnsi="Times New Roman" w:cs="Times New Roman"/>
          <w:sz w:val="20"/>
          <w:szCs w:val="20"/>
        </w:rPr>
        <w:t xml:space="preserve">Then, in NTN case, in order to support the typical UE density for IoT, potential enhancements on the channel, e.g., NPRACH, capacity is needed. </w:t>
      </w:r>
    </w:p>
    <w:p w:rsidR="00B26739" w:rsidRDefault="002125CB">
      <w:pPr>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 xml:space="preserve">: </w:t>
      </w:r>
      <w:r>
        <w:rPr>
          <w:rFonts w:ascii="Times New Roman" w:eastAsia="宋体" w:hAnsi="Times New Roman"/>
          <w:i/>
          <w:sz w:val="20"/>
          <w:szCs w:val="20"/>
        </w:rPr>
        <w:t>Investigation on the NRPACH capacity in IoT-NTN is needed with corresponding enhancements.</w:t>
      </w:r>
    </w:p>
    <w:p w:rsidR="00B26739" w:rsidRDefault="002125CB">
      <w:pPr>
        <w:pStyle w:val="Heading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Conclusions</w:t>
      </w:r>
    </w:p>
    <w:p w:rsidR="00B26739" w:rsidRDefault="002125CB">
      <w:pPr>
        <w:pStyle w:val="ListParagraph"/>
        <w:spacing w:beforeLines="50" w:before="120" w:afterLines="50" w:after="120" w:line="240" w:lineRule="auto"/>
        <w:ind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detailed analysis on the </w:t>
      </w:r>
      <w:r>
        <w:rPr>
          <w:rFonts w:ascii="Times New Roman" w:eastAsia="宋体" w:hAnsi="Times New Roman" w:cs="Times New Roman" w:hint="eastAsia"/>
          <w:sz w:val="20"/>
          <w:szCs w:val="20"/>
        </w:rPr>
        <w:t>power consumption and NPRACH capability</w:t>
      </w:r>
      <w:r>
        <w:rPr>
          <w:rFonts w:ascii="Times New Roman" w:eastAsia="宋体" w:hAnsi="Times New Roman" w:cs="Times New Roman"/>
          <w:sz w:val="20"/>
          <w:szCs w:val="20"/>
        </w:rPr>
        <w:t xml:space="preserve"> for</w:t>
      </w:r>
      <w:r>
        <w:rPr>
          <w:rFonts w:ascii="Times New Roman" w:eastAsia="宋体" w:hAnsi="Times New Roman" w:cs="Times New Roman" w:hint="eastAsia"/>
          <w:sz w:val="20"/>
          <w:szCs w:val="20"/>
        </w:rPr>
        <w:t xml:space="preserve"> NB-IoT</w:t>
      </w:r>
      <w:r>
        <w:rPr>
          <w:rFonts w:ascii="Times New Roman" w:eastAsia="宋体" w:hAnsi="Times New Roman" w:cs="Times New Roman"/>
          <w:sz w:val="20"/>
          <w:szCs w:val="20"/>
        </w:rPr>
        <w:t xml:space="preserve"> NTN is conducted with following proposal:</w:t>
      </w:r>
    </w:p>
    <w:p w:rsidR="00102ADF" w:rsidRDefault="00102ADF" w:rsidP="00102ADF">
      <w:pPr>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eastAsia="宋体" w:hAnsi="Times New Roman"/>
          <w:i/>
          <w:sz w:val="20"/>
          <w:szCs w:val="20"/>
        </w:rPr>
        <w:t xml:space="preserve">The methodology in </w:t>
      </w:r>
      <w:r>
        <w:rPr>
          <w:rFonts w:ascii="Times New Roman" w:eastAsia="宋体" w:hAnsi="Times New Roman"/>
          <w:i/>
          <w:sz w:val="20"/>
          <w:szCs w:val="20"/>
        </w:rPr>
        <w:fldChar w:fldCharType="begin"/>
      </w:r>
      <w:r>
        <w:rPr>
          <w:rFonts w:ascii="Times New Roman" w:eastAsia="宋体" w:hAnsi="Times New Roman"/>
          <w:i/>
          <w:sz w:val="20"/>
          <w:szCs w:val="20"/>
        </w:rPr>
        <w:instrText xml:space="preserve"> REF _Ref14051 \r \h </w:instrText>
      </w:r>
      <w:r>
        <w:rPr>
          <w:rFonts w:ascii="Times New Roman" w:eastAsia="宋体" w:hAnsi="Times New Roman"/>
          <w:i/>
          <w:sz w:val="20"/>
          <w:szCs w:val="20"/>
        </w:rPr>
      </w:r>
      <w:r>
        <w:rPr>
          <w:rFonts w:ascii="Times New Roman" w:eastAsia="宋体" w:hAnsi="Times New Roman"/>
          <w:i/>
          <w:sz w:val="20"/>
          <w:szCs w:val="20"/>
        </w:rPr>
        <w:fldChar w:fldCharType="separate"/>
      </w:r>
      <w:r>
        <w:rPr>
          <w:rFonts w:ascii="Times New Roman" w:eastAsia="宋体" w:hAnsi="Times New Roman"/>
          <w:i/>
          <w:sz w:val="20"/>
          <w:szCs w:val="20"/>
        </w:rPr>
        <w:t>[2]</w:t>
      </w:r>
      <w:r>
        <w:rPr>
          <w:rFonts w:ascii="Times New Roman" w:eastAsia="宋体" w:hAnsi="Times New Roman"/>
          <w:i/>
          <w:sz w:val="20"/>
          <w:szCs w:val="20"/>
        </w:rPr>
        <w:fldChar w:fldCharType="end"/>
      </w:r>
      <w:r>
        <w:rPr>
          <w:rFonts w:ascii="Times New Roman" w:eastAsia="宋体" w:hAnsi="Times New Roman"/>
          <w:i/>
          <w:sz w:val="20"/>
          <w:szCs w:val="20"/>
        </w:rPr>
        <w:t xml:space="preserve"> for power consumption evaluation </w:t>
      </w:r>
      <w:r>
        <w:rPr>
          <w:rFonts w:ascii="Times New Roman" w:eastAsia="宋体" w:hAnsi="Times New Roman"/>
          <w:bCs/>
          <w:i/>
          <w:sz w:val="20"/>
          <w:szCs w:val="20"/>
        </w:rPr>
        <w:t xml:space="preserve">with the updated </w:t>
      </w:r>
      <w:r w:rsidR="009B429D">
        <w:rPr>
          <w:rFonts w:ascii="Times New Roman" w:eastAsia="宋体" w:hAnsi="Times New Roman"/>
          <w:bCs/>
          <w:i/>
          <w:sz w:val="20"/>
          <w:szCs w:val="20"/>
        </w:rPr>
        <w:t xml:space="preserve">parameters, e.g., </w:t>
      </w:r>
      <w:r>
        <w:rPr>
          <w:rFonts w:ascii="Times New Roman" w:eastAsia="宋体" w:hAnsi="Times New Roman" w:hint="eastAsia"/>
          <w:bCs/>
          <w:i/>
          <w:sz w:val="20"/>
          <w:szCs w:val="20"/>
        </w:rPr>
        <w:t>link budget, traffic model</w:t>
      </w:r>
      <w:r w:rsidR="009B429D">
        <w:rPr>
          <w:rFonts w:ascii="Times New Roman" w:eastAsia="宋体" w:hAnsi="Times New Roman"/>
          <w:bCs/>
          <w:i/>
          <w:sz w:val="20"/>
          <w:szCs w:val="20"/>
        </w:rPr>
        <w:t xml:space="preserve">, </w:t>
      </w:r>
      <w:r>
        <w:rPr>
          <w:rFonts w:ascii="Times New Roman" w:eastAsia="宋体" w:hAnsi="Times New Roman"/>
          <w:bCs/>
          <w:i/>
          <w:sz w:val="20"/>
          <w:szCs w:val="20"/>
        </w:rPr>
        <w:t xml:space="preserve">should be taken as baseline for </w:t>
      </w:r>
      <w:r>
        <w:rPr>
          <w:rFonts w:ascii="Times New Roman" w:eastAsia="宋体" w:hAnsi="Times New Roman" w:hint="eastAsia"/>
          <w:bCs/>
          <w:i/>
          <w:sz w:val="20"/>
          <w:szCs w:val="20"/>
        </w:rPr>
        <w:t>IoT over NTN</w:t>
      </w:r>
    </w:p>
    <w:p w:rsidR="00B26739" w:rsidRDefault="002125CB">
      <w:pPr>
        <w:adjustRightInd w:val="0"/>
        <w:snapToGrid w:val="0"/>
        <w:spacing w:beforeLines="50" w:before="120" w:line="240" w:lineRule="auto"/>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w:t>
      </w:r>
      <w:r>
        <w:rPr>
          <w:rFonts w:ascii="Times New Roman" w:eastAsia="宋体" w:hAnsi="Times New Roman"/>
          <w:b/>
          <w:i/>
          <w:sz w:val="20"/>
          <w:szCs w:val="20"/>
        </w:rPr>
        <w:t xml:space="preserve"> </w:t>
      </w:r>
      <w:r>
        <w:rPr>
          <w:rFonts w:ascii="Times New Roman" w:eastAsia="宋体" w:hAnsi="Times New Roman"/>
          <w:i/>
          <w:sz w:val="20"/>
          <w:szCs w:val="20"/>
        </w:rPr>
        <w:t>Investigation on the power consumption due to the additional reception of GNSS should be conducted.</w:t>
      </w:r>
    </w:p>
    <w:p w:rsidR="00B26739" w:rsidRDefault="002125CB">
      <w:pPr>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 xml:space="preserve">: </w:t>
      </w:r>
      <w:r>
        <w:rPr>
          <w:rFonts w:ascii="Times New Roman" w:eastAsia="宋体" w:hAnsi="Times New Roman"/>
          <w:i/>
          <w:sz w:val="20"/>
          <w:szCs w:val="20"/>
        </w:rPr>
        <w:t>Investigation on the NRPACH capacity in IoT-NTN is needed with corresponding enhancements.</w:t>
      </w:r>
    </w:p>
    <w:p w:rsidR="00B26739" w:rsidRDefault="002125CB">
      <w:pPr>
        <w:pStyle w:val="Heading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p>
    <w:bookmarkStart w:id="13" w:name="_Ref54083880"/>
    <w:bookmarkStart w:id="14" w:name="_Ref14038"/>
    <w:bookmarkStart w:id="15" w:name="_Ref425332273"/>
    <w:p w:rsidR="00B26739" w:rsidRDefault="002125CB">
      <w:pPr>
        <w:pStyle w:val="ListParagraph1"/>
        <w:numPr>
          <w:ilvl w:val="0"/>
          <w:numId w:val="8"/>
        </w:numPr>
        <w:spacing w:after="0" w:line="240" w:lineRule="auto"/>
        <w:ind w:left="505" w:hanging="505"/>
        <w:rPr>
          <w:rFonts w:ascii="Times New Roman" w:eastAsia="Batang" w:hAnsi="Times New Roman"/>
          <w:sz w:val="20"/>
          <w:szCs w:val="20"/>
        </w:rPr>
      </w:pPr>
      <w:r>
        <w:rPr>
          <w:rFonts w:ascii="Times New Roman" w:hAnsi="Times New Roman"/>
          <w:i/>
          <w:iCs/>
          <w:sz w:val="20"/>
          <w:szCs w:val="20"/>
        </w:rPr>
        <w:fldChar w:fldCharType="begin"/>
      </w:r>
      <w:r>
        <w:rPr>
          <w:rFonts w:ascii="Times New Roman" w:hAnsi="Times New Roman"/>
          <w:i/>
          <w:iCs/>
          <w:sz w:val="20"/>
          <w:szCs w:val="20"/>
        </w:rPr>
        <w:instrText xml:space="preserve"> HYPERLINK "http://www.3gpp.org/ftp/tsg_ran/TSG_RAN/TSGR_86/Docs/RP-193235.zip" </w:instrText>
      </w:r>
      <w:r>
        <w:rPr>
          <w:rFonts w:ascii="Times New Roman" w:hAnsi="Times New Roman"/>
          <w:i/>
          <w:iCs/>
          <w:sz w:val="20"/>
          <w:szCs w:val="20"/>
        </w:rPr>
        <w:fldChar w:fldCharType="separate"/>
      </w:r>
      <w:r>
        <w:rPr>
          <w:rFonts w:ascii="Times New Roman" w:hAnsi="Times New Roman"/>
          <w:sz w:val="20"/>
          <w:szCs w:val="20"/>
        </w:rPr>
        <w:t>RP-193235</w:t>
      </w:r>
      <w:r>
        <w:rPr>
          <w:rFonts w:ascii="Times New Roman" w:hAnsi="Times New Roman"/>
          <w:i/>
          <w:iCs/>
          <w:sz w:val="20"/>
          <w:szCs w:val="20"/>
        </w:rPr>
        <w:fldChar w:fldCharType="end"/>
      </w:r>
      <w:r w:rsidR="009541B8">
        <w:rPr>
          <w:rFonts w:ascii="Times New Roman" w:hAnsi="Times New Roman" w:hint="eastAsia"/>
          <w:sz w:val="20"/>
          <w:szCs w:val="20"/>
        </w:rPr>
        <w:t>,</w:t>
      </w:r>
      <w:r w:rsidR="009541B8">
        <w:rPr>
          <w:rFonts w:ascii="Times New Roman" w:hAnsi="Times New Roman"/>
          <w:sz w:val="20"/>
          <w:szCs w:val="20"/>
        </w:rPr>
        <w:t xml:space="preserve"> </w:t>
      </w:r>
      <w:r w:rsidR="009541B8">
        <w:rPr>
          <w:rFonts w:ascii="Times New Roman" w:eastAsia="Batang" w:hAnsi="Times New Roman" w:cs="Arial"/>
          <w:sz w:val="20"/>
          <w:szCs w:val="20"/>
        </w:rPr>
        <w:t>S</w:t>
      </w:r>
      <w:r>
        <w:rPr>
          <w:rFonts w:ascii="Times New Roman" w:eastAsia="Batang" w:hAnsi="Times New Roman" w:cs="Arial"/>
          <w:sz w:val="20"/>
          <w:szCs w:val="20"/>
        </w:rPr>
        <w:t xml:space="preserve">tudy </w:t>
      </w:r>
      <w:r w:rsidR="009541B8">
        <w:rPr>
          <w:rFonts w:ascii="Times New Roman" w:eastAsia="Batang" w:hAnsi="Times New Roman" w:cs="Arial"/>
          <w:sz w:val="20"/>
          <w:szCs w:val="20"/>
        </w:rPr>
        <w:t>item</w:t>
      </w:r>
      <w:r>
        <w:rPr>
          <w:rFonts w:ascii="Times New Roman" w:eastAsia="Batang" w:hAnsi="Times New Roman" w:cs="Arial"/>
          <w:sz w:val="20"/>
          <w:szCs w:val="20"/>
        </w:rPr>
        <w:t xml:space="preserve"> on NB-IoT/</w:t>
      </w:r>
      <w:r w:rsidR="009541B8">
        <w:rPr>
          <w:rFonts w:ascii="Times New Roman" w:eastAsia="Batang" w:hAnsi="Times New Roman" w:cs="Arial"/>
          <w:sz w:val="20"/>
          <w:szCs w:val="20"/>
        </w:rPr>
        <w:t>eMTC</w:t>
      </w:r>
      <w:r>
        <w:rPr>
          <w:rFonts w:ascii="Times New Roman" w:eastAsia="Batang" w:hAnsi="Times New Roman" w:cs="Arial"/>
          <w:sz w:val="20"/>
          <w:szCs w:val="20"/>
        </w:rPr>
        <w:t xml:space="preserve"> support for NTN</w:t>
      </w:r>
      <w:bookmarkEnd w:id="13"/>
      <w:r>
        <w:rPr>
          <w:rFonts w:ascii="Times New Roman" w:eastAsia="Batang" w:hAnsi="Times New Roman" w:cs="Arial"/>
          <w:sz w:val="20"/>
          <w:szCs w:val="20"/>
        </w:rPr>
        <w:t xml:space="preserve"> </w:t>
      </w:r>
      <w:bookmarkEnd w:id="14"/>
    </w:p>
    <w:p w:rsidR="00B26739" w:rsidRDefault="002125CB">
      <w:pPr>
        <w:pStyle w:val="ListParagraph1"/>
        <w:numPr>
          <w:ilvl w:val="0"/>
          <w:numId w:val="8"/>
        </w:numPr>
        <w:spacing w:after="0" w:line="240" w:lineRule="auto"/>
        <w:ind w:left="505" w:hanging="505"/>
        <w:rPr>
          <w:rFonts w:ascii="Times New Roman" w:hAnsi="Times New Roman"/>
          <w:sz w:val="20"/>
          <w:szCs w:val="20"/>
        </w:rPr>
      </w:pPr>
      <w:bookmarkStart w:id="16" w:name="_Ref14051"/>
      <w:r>
        <w:rPr>
          <w:rFonts w:ascii="Times New Roman" w:hAnsi="Times New Roman"/>
          <w:sz w:val="20"/>
          <w:szCs w:val="20"/>
        </w:rPr>
        <w:t>TR 45.820 v1.3.0, “Cellular System Support for Ultra Low Complexity and Low Throughput Internet of Things”</w:t>
      </w:r>
      <w:bookmarkEnd w:id="15"/>
      <w:bookmarkEnd w:id="16"/>
    </w:p>
    <w:p w:rsidR="00B26739" w:rsidRDefault="002125CB">
      <w:pPr>
        <w:pStyle w:val="ListParagraph1"/>
        <w:numPr>
          <w:ilvl w:val="0"/>
          <w:numId w:val="8"/>
        </w:numPr>
        <w:spacing w:after="0" w:line="240" w:lineRule="auto"/>
        <w:ind w:left="505" w:hanging="505"/>
        <w:rPr>
          <w:rFonts w:ascii="Times New Roman" w:hAnsi="Times New Roman"/>
          <w:sz w:val="20"/>
          <w:szCs w:val="20"/>
        </w:rPr>
      </w:pPr>
      <w:bookmarkStart w:id="17" w:name="_Ref54079037"/>
      <w:r>
        <w:rPr>
          <w:rFonts w:ascii="Times New Roman" w:hAnsi="Times New Roman" w:hint="eastAsia"/>
          <w:sz w:val="20"/>
          <w:szCs w:val="20"/>
        </w:rPr>
        <w:t xml:space="preserve">3GPP TR 36.331, </w:t>
      </w:r>
      <w:r>
        <w:rPr>
          <w:rFonts w:ascii="Times New Roman" w:hAnsi="Times New Roman"/>
          <w:sz w:val="20"/>
          <w:szCs w:val="20"/>
        </w:rPr>
        <w:t>“</w:t>
      </w:r>
      <w:r>
        <w:rPr>
          <w:rFonts w:ascii="Times New Roman" w:hAnsi="Times New Roman" w:hint="eastAsia"/>
          <w:sz w:val="20"/>
          <w:szCs w:val="20"/>
        </w:rPr>
        <w:t>Evolved Universal Terrestrial Radio Access (E-UTRA); Radio Resource Control (RRC); Protocol specification</w:t>
      </w:r>
      <w:r>
        <w:rPr>
          <w:rFonts w:ascii="Times New Roman" w:hAnsi="Times New Roman"/>
          <w:sz w:val="20"/>
          <w:szCs w:val="20"/>
        </w:rPr>
        <w:t>”</w:t>
      </w:r>
      <w:bookmarkEnd w:id="17"/>
    </w:p>
    <w:p w:rsidR="00B26739" w:rsidRDefault="002125CB">
      <w:pPr>
        <w:pStyle w:val="ListParagraph1"/>
        <w:numPr>
          <w:ilvl w:val="0"/>
          <w:numId w:val="8"/>
        </w:numPr>
        <w:spacing w:after="0" w:line="240" w:lineRule="auto"/>
        <w:ind w:left="505" w:hanging="505"/>
        <w:rPr>
          <w:rFonts w:ascii="Times New Roman" w:hAnsi="Times New Roman"/>
          <w:sz w:val="20"/>
          <w:szCs w:val="20"/>
        </w:rPr>
      </w:pPr>
      <w:bookmarkStart w:id="18" w:name="_Ref54079769"/>
      <w:r>
        <w:rPr>
          <w:rFonts w:ascii="Times New Roman" w:hAnsi="Times New Roman" w:hint="eastAsia"/>
          <w:sz w:val="20"/>
          <w:szCs w:val="20"/>
        </w:rPr>
        <w:t xml:space="preserve">R2-154449, </w:t>
      </w:r>
      <w:r>
        <w:rPr>
          <w:rFonts w:ascii="Times New Roman" w:hAnsi="Times New Roman"/>
          <w:sz w:val="20"/>
          <w:szCs w:val="20"/>
        </w:rPr>
        <w:t>“</w:t>
      </w:r>
      <w:r>
        <w:rPr>
          <w:rFonts w:ascii="Times New Roman" w:hAnsi="Times New Roman" w:hint="eastAsia"/>
          <w:sz w:val="20"/>
          <w:szCs w:val="20"/>
        </w:rPr>
        <w:t>Battery lifetime evaluation for NB-IoT</w:t>
      </w:r>
      <w:r>
        <w:rPr>
          <w:rFonts w:ascii="Times New Roman" w:hAnsi="Times New Roman"/>
          <w:sz w:val="20"/>
          <w:szCs w:val="20"/>
        </w:rPr>
        <w:t>”</w:t>
      </w:r>
      <w:r>
        <w:rPr>
          <w:rFonts w:ascii="Times New Roman" w:hAnsi="Times New Roman" w:hint="eastAsia"/>
          <w:sz w:val="20"/>
          <w:szCs w:val="20"/>
        </w:rPr>
        <w:t>, ZTE, Ericsson, RAN2#91bis</w:t>
      </w:r>
      <w:bookmarkEnd w:id="18"/>
    </w:p>
    <w:p w:rsidR="00B26739" w:rsidRDefault="002125CB">
      <w:pPr>
        <w:pStyle w:val="ListParagraph1"/>
        <w:numPr>
          <w:ilvl w:val="0"/>
          <w:numId w:val="8"/>
        </w:numPr>
        <w:spacing w:after="0" w:line="240" w:lineRule="auto"/>
        <w:ind w:left="505" w:hanging="505"/>
        <w:rPr>
          <w:rFonts w:ascii="Times New Roman" w:hAnsi="Times New Roman"/>
          <w:sz w:val="20"/>
          <w:szCs w:val="20"/>
        </w:rPr>
      </w:pPr>
      <w:bookmarkStart w:id="19" w:name="_Ref54111396"/>
      <w:r>
        <w:rPr>
          <w:rFonts w:ascii="Times New Roman" w:hAnsi="Times New Roman"/>
          <w:sz w:val="20"/>
          <w:szCs w:val="20"/>
        </w:rPr>
        <w:t>R1-2008855, Discussion on enhancements for IoT-NTN, RAN1#103-e, ZTE</w:t>
      </w:r>
      <w:bookmarkEnd w:id="19"/>
    </w:p>
    <w:p w:rsidR="00B26739" w:rsidRDefault="002125CB">
      <w:pPr>
        <w:pStyle w:val="ListParagraph1"/>
        <w:numPr>
          <w:ilvl w:val="0"/>
          <w:numId w:val="8"/>
        </w:numPr>
        <w:spacing w:after="0" w:line="240" w:lineRule="auto"/>
        <w:ind w:left="505" w:hanging="505"/>
        <w:rPr>
          <w:rFonts w:ascii="Times New Roman" w:hAnsi="Times New Roman"/>
          <w:sz w:val="20"/>
          <w:szCs w:val="20"/>
        </w:rPr>
      </w:pPr>
      <w:bookmarkStart w:id="20" w:name="_Ref29700"/>
      <w:r>
        <w:rPr>
          <w:rFonts w:ascii="Times New Roman" w:hAnsi="Times New Roman"/>
          <w:sz w:val="20"/>
          <w:szCs w:val="20"/>
        </w:rPr>
        <w:t>“</w:t>
      </w:r>
      <w:r>
        <w:rPr>
          <w:rFonts w:ascii="Times New Roman" w:hAnsi="Times New Roman" w:hint="eastAsia"/>
          <w:sz w:val="20"/>
          <w:szCs w:val="20"/>
        </w:rPr>
        <w:t>Interface Specification IS-GPS-200 Revision D</w:t>
      </w:r>
      <w:r>
        <w:rPr>
          <w:rFonts w:ascii="Times New Roman" w:hAnsi="Times New Roman"/>
          <w:sz w:val="20"/>
          <w:szCs w:val="20"/>
        </w:rPr>
        <w:t>”</w:t>
      </w:r>
      <w:r>
        <w:rPr>
          <w:rFonts w:ascii="Times New Roman" w:hAnsi="Times New Roman" w:hint="eastAsia"/>
          <w:sz w:val="20"/>
          <w:szCs w:val="20"/>
        </w:rPr>
        <w:t xml:space="preserve">, United States Coast Guard, 7 </w:t>
      </w:r>
      <w:r>
        <w:rPr>
          <w:rFonts w:ascii="Times New Roman" w:hAnsi="Times New Roman"/>
          <w:sz w:val="20"/>
          <w:szCs w:val="20"/>
        </w:rPr>
        <w:t>December</w:t>
      </w:r>
      <w:r>
        <w:rPr>
          <w:rFonts w:ascii="Times New Roman" w:hAnsi="Times New Roman" w:hint="eastAsia"/>
          <w:sz w:val="20"/>
          <w:szCs w:val="20"/>
        </w:rPr>
        <w:t xml:space="preserve"> 2004.</w:t>
      </w:r>
      <w:bookmarkEnd w:id="20"/>
    </w:p>
    <w:bookmarkStart w:id="21" w:name="_Ref14064"/>
    <w:p w:rsidR="00B26739" w:rsidRDefault="002125CB">
      <w:pPr>
        <w:pStyle w:val="ListParagraph1"/>
        <w:numPr>
          <w:ilvl w:val="0"/>
          <w:numId w:val="8"/>
        </w:numPr>
        <w:spacing w:after="0" w:line="240" w:lineRule="auto"/>
        <w:ind w:left="505" w:hanging="505"/>
        <w:rPr>
          <w:rFonts w:ascii="Times New Roman" w:hAnsi="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"https://en.wikipedia.org/wiki/Time_to_first_fix" </w:instrText>
      </w:r>
      <w:r>
        <w:rPr>
          <w:rFonts w:ascii="Times New Roman" w:hAnsi="Times New Roman" w:cs="Times New Roman"/>
          <w:sz w:val="20"/>
          <w:szCs w:val="20"/>
        </w:rPr>
        <w:fldChar w:fldCharType="separate"/>
      </w:r>
      <w:bookmarkStart w:id="22" w:name="_Ref54081131"/>
      <w:r>
        <w:rPr>
          <w:rFonts w:ascii="Times New Roman" w:hAnsi="Times New Roman" w:cs="Times New Roman"/>
          <w:sz w:val="20"/>
          <w:szCs w:val="20"/>
        </w:rPr>
        <w:t>https://en.wikipedia.org/wiki/Time_to_first_fix</w:t>
      </w:r>
      <w:bookmarkEnd w:id="22"/>
      <w:r>
        <w:rPr>
          <w:rFonts w:ascii="Times New Roman" w:hAnsi="Times New Roman" w:cs="Times New Roman"/>
          <w:sz w:val="20"/>
          <w:szCs w:val="20"/>
        </w:rPr>
        <w:fldChar w:fldCharType="end"/>
      </w:r>
      <w:bookmarkEnd w:id="21"/>
    </w:p>
    <w:p w:rsidR="00B26739" w:rsidRDefault="002125CB">
      <w:pPr>
        <w:pStyle w:val="ListParagraph1"/>
        <w:numPr>
          <w:ilvl w:val="0"/>
          <w:numId w:val="8"/>
        </w:numPr>
        <w:spacing w:after="0" w:line="240" w:lineRule="auto"/>
        <w:ind w:left="505" w:hanging="505"/>
        <w:rPr>
          <w:rFonts w:ascii="Times New Roman" w:hAnsi="Times New Roman"/>
          <w:sz w:val="20"/>
          <w:szCs w:val="20"/>
        </w:rPr>
      </w:pPr>
      <w:bookmarkStart w:id="23" w:name="_Ref54082925"/>
      <w:r>
        <w:rPr>
          <w:rFonts w:ascii="Times New Roman" w:hAnsi="Times New Roman" w:hint="eastAsia"/>
          <w:sz w:val="20"/>
          <w:szCs w:val="20"/>
        </w:rPr>
        <w:t xml:space="preserve">3GPP TR 38.821, </w:t>
      </w:r>
      <w:r>
        <w:rPr>
          <w:rFonts w:ascii="Times New Roman" w:hAnsi="Times New Roman"/>
          <w:sz w:val="20"/>
          <w:szCs w:val="20"/>
        </w:rPr>
        <w:t>“</w:t>
      </w:r>
      <w:r>
        <w:rPr>
          <w:rFonts w:ascii="Times New Roman" w:hAnsi="Times New Roman" w:hint="eastAsia"/>
          <w:sz w:val="20"/>
          <w:szCs w:val="20"/>
        </w:rPr>
        <w:t>Solutions for NR to support Non-Terrestrial Networks (NTN)</w:t>
      </w:r>
      <w:r>
        <w:rPr>
          <w:rFonts w:ascii="Times New Roman" w:hAnsi="Times New Roman"/>
          <w:sz w:val="20"/>
          <w:szCs w:val="20"/>
        </w:rPr>
        <w:t>”</w:t>
      </w:r>
      <w:bookmarkEnd w:id="23"/>
    </w:p>
    <w:p w:rsidR="00B26739" w:rsidRDefault="002125CB">
      <w:pPr>
        <w:pStyle w:val="ListParagraph1"/>
        <w:numPr>
          <w:ilvl w:val="0"/>
          <w:numId w:val="8"/>
        </w:numPr>
        <w:spacing w:after="0" w:line="240" w:lineRule="auto"/>
        <w:ind w:left="505" w:hanging="505"/>
        <w:rPr>
          <w:rFonts w:ascii="Times New Roman" w:hAnsi="Times New Roman"/>
          <w:sz w:val="20"/>
          <w:szCs w:val="20"/>
        </w:rPr>
      </w:pPr>
      <w:bookmarkStart w:id="24" w:name="_Ref54082516"/>
      <w:bookmarkStart w:id="25" w:name="_Ref31669"/>
      <w:r>
        <w:rPr>
          <w:rFonts w:ascii="Times New Roman" w:hAnsi="Times New Roman"/>
          <w:sz w:val="20"/>
          <w:szCs w:val="20"/>
        </w:rPr>
        <w:t>R2-1901404</w:t>
      </w:r>
      <w:r>
        <w:rPr>
          <w:rFonts w:ascii="Times New Roman" w:hAnsi="Times New Roman" w:hint="eastAsia"/>
          <w:sz w:val="20"/>
          <w:szCs w:val="20"/>
        </w:rPr>
        <w:t>,</w:t>
      </w:r>
      <w:r>
        <w:rPr>
          <w:rFonts w:ascii="Times New Roman" w:hAnsi="Times New Roman"/>
          <w:sz w:val="20"/>
          <w:szCs w:val="20"/>
        </w:rPr>
        <w:t xml:space="preserve"> “IoT Device Density Models for Various Environments”, Vodafone.</w:t>
      </w:r>
      <w:bookmarkEnd w:id="24"/>
      <w:r>
        <w:rPr>
          <w:rFonts w:ascii="Times New Roman" w:hAnsi="Times New Roman" w:hint="eastAsia"/>
          <w:sz w:val="20"/>
          <w:szCs w:val="20"/>
        </w:rPr>
        <w:t xml:space="preserve"> RAN2#105</w:t>
      </w:r>
      <w:bookmarkEnd w:id="25"/>
    </w:p>
    <w:sectPr w:rsidR="00B26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8F845A1"/>
    <w:multiLevelType w:val="multilevel"/>
    <w:tmpl w:val="08F845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4605FF"/>
    <w:multiLevelType w:val="multilevel"/>
    <w:tmpl w:val="134605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113E9E"/>
    <w:multiLevelType w:val="singleLevel"/>
    <w:tmpl w:val="21113E9E"/>
    <w:lvl w:ilvl="0">
      <w:start w:val="1"/>
      <w:numFmt w:val="decimal"/>
      <w:pStyle w:val="Reference"/>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4E88"/>
    <w:rsid w:val="00005B14"/>
    <w:rsid w:val="00010179"/>
    <w:rsid w:val="00015039"/>
    <w:rsid w:val="00015132"/>
    <w:rsid w:val="0001642F"/>
    <w:rsid w:val="0001666A"/>
    <w:rsid w:val="00021434"/>
    <w:rsid w:val="00021AAE"/>
    <w:rsid w:val="00022E51"/>
    <w:rsid w:val="00024025"/>
    <w:rsid w:val="0002404A"/>
    <w:rsid w:val="000255C7"/>
    <w:rsid w:val="00026E46"/>
    <w:rsid w:val="000305EC"/>
    <w:rsid w:val="0003439E"/>
    <w:rsid w:val="00035209"/>
    <w:rsid w:val="00042798"/>
    <w:rsid w:val="00043AF2"/>
    <w:rsid w:val="00044026"/>
    <w:rsid w:val="00044F8D"/>
    <w:rsid w:val="00046EC1"/>
    <w:rsid w:val="000515C4"/>
    <w:rsid w:val="00052ACC"/>
    <w:rsid w:val="00053670"/>
    <w:rsid w:val="00054B9E"/>
    <w:rsid w:val="00054DC8"/>
    <w:rsid w:val="0005556D"/>
    <w:rsid w:val="0005679C"/>
    <w:rsid w:val="000600A4"/>
    <w:rsid w:val="0006445C"/>
    <w:rsid w:val="00064C14"/>
    <w:rsid w:val="00067072"/>
    <w:rsid w:val="000707AD"/>
    <w:rsid w:val="000771C3"/>
    <w:rsid w:val="00082E56"/>
    <w:rsid w:val="00085425"/>
    <w:rsid w:val="0008799A"/>
    <w:rsid w:val="0009076A"/>
    <w:rsid w:val="00091DB0"/>
    <w:rsid w:val="000929D3"/>
    <w:rsid w:val="00096412"/>
    <w:rsid w:val="00096975"/>
    <w:rsid w:val="00097080"/>
    <w:rsid w:val="00097C29"/>
    <w:rsid w:val="000A0C3E"/>
    <w:rsid w:val="000A1418"/>
    <w:rsid w:val="000A2896"/>
    <w:rsid w:val="000A5D0C"/>
    <w:rsid w:val="000A6607"/>
    <w:rsid w:val="000A6F26"/>
    <w:rsid w:val="000B512D"/>
    <w:rsid w:val="000B6824"/>
    <w:rsid w:val="000C0612"/>
    <w:rsid w:val="000C1944"/>
    <w:rsid w:val="000C3A22"/>
    <w:rsid w:val="000C46C1"/>
    <w:rsid w:val="000C4C4D"/>
    <w:rsid w:val="000C5487"/>
    <w:rsid w:val="000C600C"/>
    <w:rsid w:val="000C6104"/>
    <w:rsid w:val="000C6CD2"/>
    <w:rsid w:val="000D2FFB"/>
    <w:rsid w:val="000D5861"/>
    <w:rsid w:val="000D598F"/>
    <w:rsid w:val="000E6592"/>
    <w:rsid w:val="000E65C2"/>
    <w:rsid w:val="000E7075"/>
    <w:rsid w:val="000F22A0"/>
    <w:rsid w:val="000F37E2"/>
    <w:rsid w:val="000F4FB7"/>
    <w:rsid w:val="000F504F"/>
    <w:rsid w:val="000F58D7"/>
    <w:rsid w:val="000F7322"/>
    <w:rsid w:val="000F785C"/>
    <w:rsid w:val="00101E52"/>
    <w:rsid w:val="00102955"/>
    <w:rsid w:val="00102ADF"/>
    <w:rsid w:val="001030E2"/>
    <w:rsid w:val="00103ADE"/>
    <w:rsid w:val="001053A6"/>
    <w:rsid w:val="001072E3"/>
    <w:rsid w:val="00110B52"/>
    <w:rsid w:val="001140B1"/>
    <w:rsid w:val="001164E7"/>
    <w:rsid w:val="001175A0"/>
    <w:rsid w:val="0011771D"/>
    <w:rsid w:val="00117825"/>
    <w:rsid w:val="00120E8A"/>
    <w:rsid w:val="00123A6A"/>
    <w:rsid w:val="00127950"/>
    <w:rsid w:val="0013220A"/>
    <w:rsid w:val="001366F7"/>
    <w:rsid w:val="001369F6"/>
    <w:rsid w:val="00137E7B"/>
    <w:rsid w:val="001401D1"/>
    <w:rsid w:val="00140AE4"/>
    <w:rsid w:val="0014136C"/>
    <w:rsid w:val="0014315C"/>
    <w:rsid w:val="001455B4"/>
    <w:rsid w:val="00151B39"/>
    <w:rsid w:val="00152B82"/>
    <w:rsid w:val="00152E17"/>
    <w:rsid w:val="00153DFD"/>
    <w:rsid w:val="00163958"/>
    <w:rsid w:val="00163E3A"/>
    <w:rsid w:val="001645E4"/>
    <w:rsid w:val="00164C6C"/>
    <w:rsid w:val="00170CD6"/>
    <w:rsid w:val="0017178D"/>
    <w:rsid w:val="00171B97"/>
    <w:rsid w:val="001737F5"/>
    <w:rsid w:val="00174EE5"/>
    <w:rsid w:val="00176496"/>
    <w:rsid w:val="001767AB"/>
    <w:rsid w:val="00177052"/>
    <w:rsid w:val="001845E7"/>
    <w:rsid w:val="0019297F"/>
    <w:rsid w:val="00194A42"/>
    <w:rsid w:val="001964C6"/>
    <w:rsid w:val="001A040E"/>
    <w:rsid w:val="001A27EA"/>
    <w:rsid w:val="001A585E"/>
    <w:rsid w:val="001A74B5"/>
    <w:rsid w:val="001B0350"/>
    <w:rsid w:val="001B1525"/>
    <w:rsid w:val="001C3113"/>
    <w:rsid w:val="001C34AE"/>
    <w:rsid w:val="001C53EA"/>
    <w:rsid w:val="001D3FCD"/>
    <w:rsid w:val="001D4C5A"/>
    <w:rsid w:val="001D59E7"/>
    <w:rsid w:val="001D7DDA"/>
    <w:rsid w:val="001E2099"/>
    <w:rsid w:val="001E27E0"/>
    <w:rsid w:val="001E391C"/>
    <w:rsid w:val="001E7C55"/>
    <w:rsid w:val="001F42FD"/>
    <w:rsid w:val="001F532D"/>
    <w:rsid w:val="001F73F8"/>
    <w:rsid w:val="001F7E2A"/>
    <w:rsid w:val="00206259"/>
    <w:rsid w:val="00211192"/>
    <w:rsid w:val="002118F6"/>
    <w:rsid w:val="002125CB"/>
    <w:rsid w:val="00215B4B"/>
    <w:rsid w:val="00215C0C"/>
    <w:rsid w:val="002166A4"/>
    <w:rsid w:val="00220F13"/>
    <w:rsid w:val="00222B41"/>
    <w:rsid w:val="002239D1"/>
    <w:rsid w:val="002260BF"/>
    <w:rsid w:val="002277AA"/>
    <w:rsid w:val="00227B9F"/>
    <w:rsid w:val="00230E2F"/>
    <w:rsid w:val="002337F7"/>
    <w:rsid w:val="00240304"/>
    <w:rsid w:val="0024089A"/>
    <w:rsid w:val="00241E81"/>
    <w:rsid w:val="00245126"/>
    <w:rsid w:val="0024761D"/>
    <w:rsid w:val="002509D8"/>
    <w:rsid w:val="00255D8E"/>
    <w:rsid w:val="00261495"/>
    <w:rsid w:val="002617C9"/>
    <w:rsid w:val="00263CF8"/>
    <w:rsid w:val="00266010"/>
    <w:rsid w:val="002662CE"/>
    <w:rsid w:val="00272F96"/>
    <w:rsid w:val="002749B2"/>
    <w:rsid w:val="00276F10"/>
    <w:rsid w:val="00281F8A"/>
    <w:rsid w:val="00282B5B"/>
    <w:rsid w:val="002863A3"/>
    <w:rsid w:val="00286A1A"/>
    <w:rsid w:val="00291D82"/>
    <w:rsid w:val="002924F9"/>
    <w:rsid w:val="0029575D"/>
    <w:rsid w:val="002A03BF"/>
    <w:rsid w:val="002A40A7"/>
    <w:rsid w:val="002A431F"/>
    <w:rsid w:val="002A5DBB"/>
    <w:rsid w:val="002A62E3"/>
    <w:rsid w:val="002A7E58"/>
    <w:rsid w:val="002B28E0"/>
    <w:rsid w:val="002B3F53"/>
    <w:rsid w:val="002B4341"/>
    <w:rsid w:val="002B5408"/>
    <w:rsid w:val="002B6229"/>
    <w:rsid w:val="002C37D5"/>
    <w:rsid w:val="002C4016"/>
    <w:rsid w:val="002C5BB8"/>
    <w:rsid w:val="002C5C2D"/>
    <w:rsid w:val="002C636A"/>
    <w:rsid w:val="002C7437"/>
    <w:rsid w:val="002D35C9"/>
    <w:rsid w:val="002D3617"/>
    <w:rsid w:val="002D74A4"/>
    <w:rsid w:val="002E0B56"/>
    <w:rsid w:val="002E2D9B"/>
    <w:rsid w:val="002E5475"/>
    <w:rsid w:val="002E5A0C"/>
    <w:rsid w:val="002E6858"/>
    <w:rsid w:val="002E7D93"/>
    <w:rsid w:val="002E7F8A"/>
    <w:rsid w:val="002F0209"/>
    <w:rsid w:val="002F2A52"/>
    <w:rsid w:val="002F37E8"/>
    <w:rsid w:val="002F67A2"/>
    <w:rsid w:val="002F67ED"/>
    <w:rsid w:val="002F7433"/>
    <w:rsid w:val="00300887"/>
    <w:rsid w:val="00301393"/>
    <w:rsid w:val="00301C35"/>
    <w:rsid w:val="0030330F"/>
    <w:rsid w:val="00303EF0"/>
    <w:rsid w:val="00304BDE"/>
    <w:rsid w:val="00305DE0"/>
    <w:rsid w:val="00313773"/>
    <w:rsid w:val="00313AD9"/>
    <w:rsid w:val="00313D16"/>
    <w:rsid w:val="00315C20"/>
    <w:rsid w:val="00317C7F"/>
    <w:rsid w:val="003208F9"/>
    <w:rsid w:val="00320CAE"/>
    <w:rsid w:val="00331622"/>
    <w:rsid w:val="0033281C"/>
    <w:rsid w:val="00332D42"/>
    <w:rsid w:val="00334734"/>
    <w:rsid w:val="00334DC2"/>
    <w:rsid w:val="003405B7"/>
    <w:rsid w:val="003409CF"/>
    <w:rsid w:val="003410EE"/>
    <w:rsid w:val="00345FE9"/>
    <w:rsid w:val="003503C4"/>
    <w:rsid w:val="00350FBC"/>
    <w:rsid w:val="00351908"/>
    <w:rsid w:val="00352086"/>
    <w:rsid w:val="003529BD"/>
    <w:rsid w:val="003557F6"/>
    <w:rsid w:val="003634E2"/>
    <w:rsid w:val="00363A78"/>
    <w:rsid w:val="003643F8"/>
    <w:rsid w:val="00366F67"/>
    <w:rsid w:val="0037065F"/>
    <w:rsid w:val="003713D9"/>
    <w:rsid w:val="0037266D"/>
    <w:rsid w:val="00375C1F"/>
    <w:rsid w:val="003813C9"/>
    <w:rsid w:val="003821A4"/>
    <w:rsid w:val="00384A17"/>
    <w:rsid w:val="003851CA"/>
    <w:rsid w:val="0038541D"/>
    <w:rsid w:val="00387508"/>
    <w:rsid w:val="00390524"/>
    <w:rsid w:val="00391906"/>
    <w:rsid w:val="0039193E"/>
    <w:rsid w:val="003933F1"/>
    <w:rsid w:val="00396782"/>
    <w:rsid w:val="00396A19"/>
    <w:rsid w:val="00396FEB"/>
    <w:rsid w:val="003A0AD5"/>
    <w:rsid w:val="003A0F24"/>
    <w:rsid w:val="003A11F6"/>
    <w:rsid w:val="003A1352"/>
    <w:rsid w:val="003A1EED"/>
    <w:rsid w:val="003A2742"/>
    <w:rsid w:val="003A2EE6"/>
    <w:rsid w:val="003A3310"/>
    <w:rsid w:val="003A420A"/>
    <w:rsid w:val="003A519F"/>
    <w:rsid w:val="003B1113"/>
    <w:rsid w:val="003B1C09"/>
    <w:rsid w:val="003B3197"/>
    <w:rsid w:val="003C54CC"/>
    <w:rsid w:val="003C562C"/>
    <w:rsid w:val="003D0C02"/>
    <w:rsid w:val="003D471D"/>
    <w:rsid w:val="003D645F"/>
    <w:rsid w:val="003E10DC"/>
    <w:rsid w:val="003E21E9"/>
    <w:rsid w:val="003E239D"/>
    <w:rsid w:val="003E4FCA"/>
    <w:rsid w:val="003E4FD3"/>
    <w:rsid w:val="003F16AA"/>
    <w:rsid w:val="003F16B3"/>
    <w:rsid w:val="003F2293"/>
    <w:rsid w:val="003F7954"/>
    <w:rsid w:val="00402656"/>
    <w:rsid w:val="00406247"/>
    <w:rsid w:val="00407B1E"/>
    <w:rsid w:val="00416785"/>
    <w:rsid w:val="0041746D"/>
    <w:rsid w:val="00417601"/>
    <w:rsid w:val="00417A84"/>
    <w:rsid w:val="00422186"/>
    <w:rsid w:val="0042521E"/>
    <w:rsid w:val="0042651B"/>
    <w:rsid w:val="004301DE"/>
    <w:rsid w:val="0043065A"/>
    <w:rsid w:val="004318CA"/>
    <w:rsid w:val="00431B46"/>
    <w:rsid w:val="00431D3C"/>
    <w:rsid w:val="00436FE4"/>
    <w:rsid w:val="0044070C"/>
    <w:rsid w:val="004408D1"/>
    <w:rsid w:val="00444241"/>
    <w:rsid w:val="0044653C"/>
    <w:rsid w:val="00446894"/>
    <w:rsid w:val="00446BAA"/>
    <w:rsid w:val="00446F38"/>
    <w:rsid w:val="00452D85"/>
    <w:rsid w:val="00453286"/>
    <w:rsid w:val="00453D6C"/>
    <w:rsid w:val="00456C5B"/>
    <w:rsid w:val="0045733E"/>
    <w:rsid w:val="004573FA"/>
    <w:rsid w:val="00463942"/>
    <w:rsid w:val="004654BC"/>
    <w:rsid w:val="004654CB"/>
    <w:rsid w:val="004702C2"/>
    <w:rsid w:val="004729EF"/>
    <w:rsid w:val="004731FE"/>
    <w:rsid w:val="0048145B"/>
    <w:rsid w:val="00481B43"/>
    <w:rsid w:val="00482C23"/>
    <w:rsid w:val="00484022"/>
    <w:rsid w:val="0048570C"/>
    <w:rsid w:val="00486487"/>
    <w:rsid w:val="0048653D"/>
    <w:rsid w:val="00490561"/>
    <w:rsid w:val="00492181"/>
    <w:rsid w:val="00492CAD"/>
    <w:rsid w:val="004945B1"/>
    <w:rsid w:val="00494A92"/>
    <w:rsid w:val="00495944"/>
    <w:rsid w:val="00495A57"/>
    <w:rsid w:val="004A15E7"/>
    <w:rsid w:val="004A388B"/>
    <w:rsid w:val="004A68E1"/>
    <w:rsid w:val="004A6BE0"/>
    <w:rsid w:val="004B05AC"/>
    <w:rsid w:val="004B27B7"/>
    <w:rsid w:val="004B37BB"/>
    <w:rsid w:val="004B6616"/>
    <w:rsid w:val="004C047C"/>
    <w:rsid w:val="004C1572"/>
    <w:rsid w:val="004C32AB"/>
    <w:rsid w:val="004C35CF"/>
    <w:rsid w:val="004D4385"/>
    <w:rsid w:val="004D58FF"/>
    <w:rsid w:val="004D59E5"/>
    <w:rsid w:val="004D76CF"/>
    <w:rsid w:val="004E0E27"/>
    <w:rsid w:val="004E26D6"/>
    <w:rsid w:val="004E5051"/>
    <w:rsid w:val="004E5664"/>
    <w:rsid w:val="004E6534"/>
    <w:rsid w:val="004E7C87"/>
    <w:rsid w:val="004F004C"/>
    <w:rsid w:val="004F09C8"/>
    <w:rsid w:val="004F27CE"/>
    <w:rsid w:val="004F47F5"/>
    <w:rsid w:val="0050203F"/>
    <w:rsid w:val="00503202"/>
    <w:rsid w:val="00504167"/>
    <w:rsid w:val="0050481A"/>
    <w:rsid w:val="00514A5F"/>
    <w:rsid w:val="0051721B"/>
    <w:rsid w:val="00520474"/>
    <w:rsid w:val="005245D8"/>
    <w:rsid w:val="00527981"/>
    <w:rsid w:val="00531476"/>
    <w:rsid w:val="00532BE2"/>
    <w:rsid w:val="00536865"/>
    <w:rsid w:val="00541AC2"/>
    <w:rsid w:val="0054377D"/>
    <w:rsid w:val="005439BB"/>
    <w:rsid w:val="00547EED"/>
    <w:rsid w:val="0055515C"/>
    <w:rsid w:val="00555635"/>
    <w:rsid w:val="00557DF7"/>
    <w:rsid w:val="00560112"/>
    <w:rsid w:val="0056072D"/>
    <w:rsid w:val="00561353"/>
    <w:rsid w:val="0056149B"/>
    <w:rsid w:val="005631E5"/>
    <w:rsid w:val="005659B1"/>
    <w:rsid w:val="00572794"/>
    <w:rsid w:val="00576352"/>
    <w:rsid w:val="005776B3"/>
    <w:rsid w:val="00577B8A"/>
    <w:rsid w:val="00577FA3"/>
    <w:rsid w:val="005800AE"/>
    <w:rsid w:val="005818F2"/>
    <w:rsid w:val="0058467B"/>
    <w:rsid w:val="005847B4"/>
    <w:rsid w:val="00591A9A"/>
    <w:rsid w:val="005942C9"/>
    <w:rsid w:val="00594C6B"/>
    <w:rsid w:val="00595FF1"/>
    <w:rsid w:val="0059699B"/>
    <w:rsid w:val="00596B55"/>
    <w:rsid w:val="005A50F5"/>
    <w:rsid w:val="005A6441"/>
    <w:rsid w:val="005A6487"/>
    <w:rsid w:val="005A65FF"/>
    <w:rsid w:val="005B0A1B"/>
    <w:rsid w:val="005B0FF6"/>
    <w:rsid w:val="005B4921"/>
    <w:rsid w:val="005B4E40"/>
    <w:rsid w:val="005B55FD"/>
    <w:rsid w:val="005B7EB5"/>
    <w:rsid w:val="005C1775"/>
    <w:rsid w:val="005C25C8"/>
    <w:rsid w:val="005C39A8"/>
    <w:rsid w:val="005C5C1D"/>
    <w:rsid w:val="005C6038"/>
    <w:rsid w:val="005C611C"/>
    <w:rsid w:val="005C620F"/>
    <w:rsid w:val="005C7591"/>
    <w:rsid w:val="005C7BD4"/>
    <w:rsid w:val="005D0FDD"/>
    <w:rsid w:val="005D13C0"/>
    <w:rsid w:val="005E0800"/>
    <w:rsid w:val="005E4CFC"/>
    <w:rsid w:val="005E567C"/>
    <w:rsid w:val="005E5A35"/>
    <w:rsid w:val="005E6B7F"/>
    <w:rsid w:val="005F347D"/>
    <w:rsid w:val="005F5FD1"/>
    <w:rsid w:val="005F6497"/>
    <w:rsid w:val="005F6A35"/>
    <w:rsid w:val="00600C3B"/>
    <w:rsid w:val="00601448"/>
    <w:rsid w:val="00604BE0"/>
    <w:rsid w:val="00604ED7"/>
    <w:rsid w:val="00605C52"/>
    <w:rsid w:val="006069F4"/>
    <w:rsid w:val="00611BF1"/>
    <w:rsid w:val="00613C13"/>
    <w:rsid w:val="0061579B"/>
    <w:rsid w:val="00615F56"/>
    <w:rsid w:val="00617E3E"/>
    <w:rsid w:val="0062089C"/>
    <w:rsid w:val="006209D1"/>
    <w:rsid w:val="00620E03"/>
    <w:rsid w:val="00621317"/>
    <w:rsid w:val="006230D7"/>
    <w:rsid w:val="00623636"/>
    <w:rsid w:val="00625539"/>
    <w:rsid w:val="00631E9B"/>
    <w:rsid w:val="00632335"/>
    <w:rsid w:val="006336DA"/>
    <w:rsid w:val="00633ED2"/>
    <w:rsid w:val="00634A91"/>
    <w:rsid w:val="00634D66"/>
    <w:rsid w:val="006361FB"/>
    <w:rsid w:val="006401AA"/>
    <w:rsid w:val="006424C6"/>
    <w:rsid w:val="00642581"/>
    <w:rsid w:val="00646900"/>
    <w:rsid w:val="0065067B"/>
    <w:rsid w:val="006527BC"/>
    <w:rsid w:val="006535CC"/>
    <w:rsid w:val="0065408D"/>
    <w:rsid w:val="006555CE"/>
    <w:rsid w:val="0065614D"/>
    <w:rsid w:val="00656647"/>
    <w:rsid w:val="006570C0"/>
    <w:rsid w:val="006608EA"/>
    <w:rsid w:val="00661B5D"/>
    <w:rsid w:val="006651B0"/>
    <w:rsid w:val="006652A5"/>
    <w:rsid w:val="00670E65"/>
    <w:rsid w:val="0067386F"/>
    <w:rsid w:val="00673B49"/>
    <w:rsid w:val="00675B3E"/>
    <w:rsid w:val="00675E96"/>
    <w:rsid w:val="0067706A"/>
    <w:rsid w:val="00680759"/>
    <w:rsid w:val="00681096"/>
    <w:rsid w:val="00682298"/>
    <w:rsid w:val="0068392E"/>
    <w:rsid w:val="0068550A"/>
    <w:rsid w:val="00686A38"/>
    <w:rsid w:val="0068710D"/>
    <w:rsid w:val="006942DE"/>
    <w:rsid w:val="00695773"/>
    <w:rsid w:val="006959F4"/>
    <w:rsid w:val="00695F4B"/>
    <w:rsid w:val="006A5005"/>
    <w:rsid w:val="006A770B"/>
    <w:rsid w:val="006A78AB"/>
    <w:rsid w:val="006B11B9"/>
    <w:rsid w:val="006B2BFD"/>
    <w:rsid w:val="006B3E7B"/>
    <w:rsid w:val="006B44DE"/>
    <w:rsid w:val="006B6132"/>
    <w:rsid w:val="006B68A9"/>
    <w:rsid w:val="006C5BED"/>
    <w:rsid w:val="006C63FA"/>
    <w:rsid w:val="006C7C94"/>
    <w:rsid w:val="006D02E7"/>
    <w:rsid w:val="006D267E"/>
    <w:rsid w:val="006D2F82"/>
    <w:rsid w:val="006D419D"/>
    <w:rsid w:val="006D471A"/>
    <w:rsid w:val="006D5130"/>
    <w:rsid w:val="006D786C"/>
    <w:rsid w:val="006E3C51"/>
    <w:rsid w:val="006E492C"/>
    <w:rsid w:val="006E56D5"/>
    <w:rsid w:val="006E5A5A"/>
    <w:rsid w:val="006F05F7"/>
    <w:rsid w:val="006F2A5C"/>
    <w:rsid w:val="006F31E9"/>
    <w:rsid w:val="006F4431"/>
    <w:rsid w:val="006F72D5"/>
    <w:rsid w:val="006F72F6"/>
    <w:rsid w:val="00700CD1"/>
    <w:rsid w:val="007012CD"/>
    <w:rsid w:val="00702B90"/>
    <w:rsid w:val="0070447C"/>
    <w:rsid w:val="00711028"/>
    <w:rsid w:val="007134C2"/>
    <w:rsid w:val="0071444C"/>
    <w:rsid w:val="007153CF"/>
    <w:rsid w:val="0071629F"/>
    <w:rsid w:val="00716683"/>
    <w:rsid w:val="00720231"/>
    <w:rsid w:val="00720CE7"/>
    <w:rsid w:val="0072125E"/>
    <w:rsid w:val="00721DCF"/>
    <w:rsid w:val="0072286D"/>
    <w:rsid w:val="00724E82"/>
    <w:rsid w:val="0072584B"/>
    <w:rsid w:val="007275EF"/>
    <w:rsid w:val="00727CFC"/>
    <w:rsid w:val="00730741"/>
    <w:rsid w:val="00731300"/>
    <w:rsid w:val="00737944"/>
    <w:rsid w:val="007453DB"/>
    <w:rsid w:val="00745D0B"/>
    <w:rsid w:val="00746683"/>
    <w:rsid w:val="00754ABC"/>
    <w:rsid w:val="007571BD"/>
    <w:rsid w:val="00757478"/>
    <w:rsid w:val="00760FAD"/>
    <w:rsid w:val="0076127A"/>
    <w:rsid w:val="00764DDF"/>
    <w:rsid w:val="00765D18"/>
    <w:rsid w:val="00766275"/>
    <w:rsid w:val="00766EC1"/>
    <w:rsid w:val="00770305"/>
    <w:rsid w:val="0077075F"/>
    <w:rsid w:val="00782A64"/>
    <w:rsid w:val="0078436A"/>
    <w:rsid w:val="0078446D"/>
    <w:rsid w:val="00786908"/>
    <w:rsid w:val="0078717C"/>
    <w:rsid w:val="007918C5"/>
    <w:rsid w:val="00792482"/>
    <w:rsid w:val="007934C2"/>
    <w:rsid w:val="00795081"/>
    <w:rsid w:val="007A040B"/>
    <w:rsid w:val="007A29B5"/>
    <w:rsid w:val="007A29D7"/>
    <w:rsid w:val="007A4006"/>
    <w:rsid w:val="007A41C8"/>
    <w:rsid w:val="007A508F"/>
    <w:rsid w:val="007A5C52"/>
    <w:rsid w:val="007A64E8"/>
    <w:rsid w:val="007A6D32"/>
    <w:rsid w:val="007A7E5E"/>
    <w:rsid w:val="007A7FCE"/>
    <w:rsid w:val="007B2A3D"/>
    <w:rsid w:val="007B4875"/>
    <w:rsid w:val="007B5970"/>
    <w:rsid w:val="007C1D36"/>
    <w:rsid w:val="007C24BE"/>
    <w:rsid w:val="007C3DE6"/>
    <w:rsid w:val="007C4DC2"/>
    <w:rsid w:val="007C6683"/>
    <w:rsid w:val="007C74B8"/>
    <w:rsid w:val="007C74EA"/>
    <w:rsid w:val="007C7CFE"/>
    <w:rsid w:val="007D056B"/>
    <w:rsid w:val="007D0D62"/>
    <w:rsid w:val="007D21B4"/>
    <w:rsid w:val="007D38B5"/>
    <w:rsid w:val="007D544F"/>
    <w:rsid w:val="007D6245"/>
    <w:rsid w:val="007E3897"/>
    <w:rsid w:val="007E5230"/>
    <w:rsid w:val="007E5929"/>
    <w:rsid w:val="007E62AD"/>
    <w:rsid w:val="007E6927"/>
    <w:rsid w:val="007F12AD"/>
    <w:rsid w:val="007F19DB"/>
    <w:rsid w:val="007F2E8A"/>
    <w:rsid w:val="007F457F"/>
    <w:rsid w:val="007F4FDC"/>
    <w:rsid w:val="007F56C2"/>
    <w:rsid w:val="007F5D5F"/>
    <w:rsid w:val="007F6841"/>
    <w:rsid w:val="008034EE"/>
    <w:rsid w:val="00804E53"/>
    <w:rsid w:val="008073A4"/>
    <w:rsid w:val="00807AAA"/>
    <w:rsid w:val="00807D66"/>
    <w:rsid w:val="00810BD2"/>
    <w:rsid w:val="00811502"/>
    <w:rsid w:val="00813870"/>
    <w:rsid w:val="00815139"/>
    <w:rsid w:val="00815DAB"/>
    <w:rsid w:val="00820855"/>
    <w:rsid w:val="0082282A"/>
    <w:rsid w:val="0082555C"/>
    <w:rsid w:val="00825ED8"/>
    <w:rsid w:val="00835A04"/>
    <w:rsid w:val="00835FA0"/>
    <w:rsid w:val="00841902"/>
    <w:rsid w:val="008423C1"/>
    <w:rsid w:val="008450EB"/>
    <w:rsid w:val="0084566C"/>
    <w:rsid w:val="008463DA"/>
    <w:rsid w:val="00846BA7"/>
    <w:rsid w:val="0084712E"/>
    <w:rsid w:val="0085425D"/>
    <w:rsid w:val="008551DD"/>
    <w:rsid w:val="00860235"/>
    <w:rsid w:val="008634F5"/>
    <w:rsid w:val="00866238"/>
    <w:rsid w:val="008663D3"/>
    <w:rsid w:val="008722CE"/>
    <w:rsid w:val="0087264B"/>
    <w:rsid w:val="00874A7F"/>
    <w:rsid w:val="00876465"/>
    <w:rsid w:val="00880BCB"/>
    <w:rsid w:val="00880D19"/>
    <w:rsid w:val="008825B5"/>
    <w:rsid w:val="00882746"/>
    <w:rsid w:val="00885657"/>
    <w:rsid w:val="00887B8E"/>
    <w:rsid w:val="008906B0"/>
    <w:rsid w:val="00890D50"/>
    <w:rsid w:val="008912AE"/>
    <w:rsid w:val="00892E93"/>
    <w:rsid w:val="00893F1F"/>
    <w:rsid w:val="008945C3"/>
    <w:rsid w:val="00895F0E"/>
    <w:rsid w:val="008966F1"/>
    <w:rsid w:val="00896877"/>
    <w:rsid w:val="00897EB1"/>
    <w:rsid w:val="008A2C68"/>
    <w:rsid w:val="008B3AB6"/>
    <w:rsid w:val="008B5145"/>
    <w:rsid w:val="008B550C"/>
    <w:rsid w:val="008B7BC8"/>
    <w:rsid w:val="008C3882"/>
    <w:rsid w:val="008C67BD"/>
    <w:rsid w:val="008D1239"/>
    <w:rsid w:val="008D7217"/>
    <w:rsid w:val="008E2C5C"/>
    <w:rsid w:val="008E4FCB"/>
    <w:rsid w:val="008F0532"/>
    <w:rsid w:val="008F066C"/>
    <w:rsid w:val="008F1507"/>
    <w:rsid w:val="008F198B"/>
    <w:rsid w:val="008F7FF4"/>
    <w:rsid w:val="00903327"/>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2FDA"/>
    <w:rsid w:val="00933578"/>
    <w:rsid w:val="00934843"/>
    <w:rsid w:val="00946B07"/>
    <w:rsid w:val="00951A21"/>
    <w:rsid w:val="009541B8"/>
    <w:rsid w:val="00954629"/>
    <w:rsid w:val="00954CFA"/>
    <w:rsid w:val="009562E2"/>
    <w:rsid w:val="00956DE4"/>
    <w:rsid w:val="009668B8"/>
    <w:rsid w:val="009679E4"/>
    <w:rsid w:val="009706AB"/>
    <w:rsid w:val="00971E51"/>
    <w:rsid w:val="0097384E"/>
    <w:rsid w:val="00975429"/>
    <w:rsid w:val="00976332"/>
    <w:rsid w:val="00976F12"/>
    <w:rsid w:val="00977D7C"/>
    <w:rsid w:val="009817F8"/>
    <w:rsid w:val="00985A1E"/>
    <w:rsid w:val="00985A93"/>
    <w:rsid w:val="00994264"/>
    <w:rsid w:val="00995C95"/>
    <w:rsid w:val="00997A4E"/>
    <w:rsid w:val="009A01AF"/>
    <w:rsid w:val="009A0E2B"/>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29D"/>
    <w:rsid w:val="009B4A2C"/>
    <w:rsid w:val="009B73D9"/>
    <w:rsid w:val="009C721A"/>
    <w:rsid w:val="009C7FA7"/>
    <w:rsid w:val="009D143E"/>
    <w:rsid w:val="009D211C"/>
    <w:rsid w:val="009D2A8B"/>
    <w:rsid w:val="009D375F"/>
    <w:rsid w:val="009D3883"/>
    <w:rsid w:val="009D56B7"/>
    <w:rsid w:val="009D5E95"/>
    <w:rsid w:val="009D6DB8"/>
    <w:rsid w:val="009D7A28"/>
    <w:rsid w:val="009E44F6"/>
    <w:rsid w:val="009E4666"/>
    <w:rsid w:val="009E4B8F"/>
    <w:rsid w:val="009E4CB9"/>
    <w:rsid w:val="009E640E"/>
    <w:rsid w:val="009E78A9"/>
    <w:rsid w:val="009F0869"/>
    <w:rsid w:val="009F1B51"/>
    <w:rsid w:val="009F1D1C"/>
    <w:rsid w:val="009F3086"/>
    <w:rsid w:val="009F362F"/>
    <w:rsid w:val="009F373D"/>
    <w:rsid w:val="009F5040"/>
    <w:rsid w:val="009F644C"/>
    <w:rsid w:val="00A03212"/>
    <w:rsid w:val="00A03839"/>
    <w:rsid w:val="00A04D82"/>
    <w:rsid w:val="00A0581E"/>
    <w:rsid w:val="00A10285"/>
    <w:rsid w:val="00A10F61"/>
    <w:rsid w:val="00A12275"/>
    <w:rsid w:val="00A12AD7"/>
    <w:rsid w:val="00A16A44"/>
    <w:rsid w:val="00A1705B"/>
    <w:rsid w:val="00A21305"/>
    <w:rsid w:val="00A24562"/>
    <w:rsid w:val="00A245DD"/>
    <w:rsid w:val="00A25A90"/>
    <w:rsid w:val="00A25CDE"/>
    <w:rsid w:val="00A26A0E"/>
    <w:rsid w:val="00A3094F"/>
    <w:rsid w:val="00A32A62"/>
    <w:rsid w:val="00A32D0C"/>
    <w:rsid w:val="00A350E9"/>
    <w:rsid w:val="00A3612D"/>
    <w:rsid w:val="00A41A2D"/>
    <w:rsid w:val="00A44480"/>
    <w:rsid w:val="00A469AC"/>
    <w:rsid w:val="00A46F5D"/>
    <w:rsid w:val="00A474D2"/>
    <w:rsid w:val="00A50539"/>
    <w:rsid w:val="00A50DA0"/>
    <w:rsid w:val="00A53145"/>
    <w:rsid w:val="00A53E54"/>
    <w:rsid w:val="00A54BEB"/>
    <w:rsid w:val="00A55269"/>
    <w:rsid w:val="00A5587B"/>
    <w:rsid w:val="00A56FCC"/>
    <w:rsid w:val="00A57582"/>
    <w:rsid w:val="00A61063"/>
    <w:rsid w:val="00A61331"/>
    <w:rsid w:val="00A63C29"/>
    <w:rsid w:val="00A63F98"/>
    <w:rsid w:val="00A663F5"/>
    <w:rsid w:val="00A67884"/>
    <w:rsid w:val="00A70F38"/>
    <w:rsid w:val="00A7397C"/>
    <w:rsid w:val="00A74A33"/>
    <w:rsid w:val="00A816AA"/>
    <w:rsid w:val="00A82111"/>
    <w:rsid w:val="00A8273E"/>
    <w:rsid w:val="00A82D39"/>
    <w:rsid w:val="00A93DBF"/>
    <w:rsid w:val="00A94BF2"/>
    <w:rsid w:val="00A94EC8"/>
    <w:rsid w:val="00AA42B3"/>
    <w:rsid w:val="00AA4C65"/>
    <w:rsid w:val="00AA70BC"/>
    <w:rsid w:val="00AB0DB7"/>
    <w:rsid w:val="00AB0EA8"/>
    <w:rsid w:val="00AB50D9"/>
    <w:rsid w:val="00AB531C"/>
    <w:rsid w:val="00AB537C"/>
    <w:rsid w:val="00AB64AA"/>
    <w:rsid w:val="00AC0699"/>
    <w:rsid w:val="00AC259E"/>
    <w:rsid w:val="00AC7005"/>
    <w:rsid w:val="00AC79C6"/>
    <w:rsid w:val="00AD13D8"/>
    <w:rsid w:val="00AD16C8"/>
    <w:rsid w:val="00AD3CA7"/>
    <w:rsid w:val="00AD4472"/>
    <w:rsid w:val="00AD460D"/>
    <w:rsid w:val="00AD69BF"/>
    <w:rsid w:val="00AD7211"/>
    <w:rsid w:val="00AE15B3"/>
    <w:rsid w:val="00AE1E44"/>
    <w:rsid w:val="00AE2EB5"/>
    <w:rsid w:val="00AE32E6"/>
    <w:rsid w:val="00AE67CE"/>
    <w:rsid w:val="00AE7394"/>
    <w:rsid w:val="00AF0D2A"/>
    <w:rsid w:val="00AF3856"/>
    <w:rsid w:val="00AF38F4"/>
    <w:rsid w:val="00AF684A"/>
    <w:rsid w:val="00AF6DB2"/>
    <w:rsid w:val="00B0190A"/>
    <w:rsid w:val="00B037C4"/>
    <w:rsid w:val="00B045E1"/>
    <w:rsid w:val="00B04F51"/>
    <w:rsid w:val="00B07AC8"/>
    <w:rsid w:val="00B11050"/>
    <w:rsid w:val="00B11BF6"/>
    <w:rsid w:val="00B12332"/>
    <w:rsid w:val="00B12694"/>
    <w:rsid w:val="00B14280"/>
    <w:rsid w:val="00B14614"/>
    <w:rsid w:val="00B1608D"/>
    <w:rsid w:val="00B161C5"/>
    <w:rsid w:val="00B17FCC"/>
    <w:rsid w:val="00B20370"/>
    <w:rsid w:val="00B21EC6"/>
    <w:rsid w:val="00B2484B"/>
    <w:rsid w:val="00B24A00"/>
    <w:rsid w:val="00B25439"/>
    <w:rsid w:val="00B26739"/>
    <w:rsid w:val="00B30102"/>
    <w:rsid w:val="00B32D35"/>
    <w:rsid w:val="00B33E8A"/>
    <w:rsid w:val="00B408D6"/>
    <w:rsid w:val="00B427F7"/>
    <w:rsid w:val="00B4740B"/>
    <w:rsid w:val="00B501EC"/>
    <w:rsid w:val="00B50C54"/>
    <w:rsid w:val="00B510CB"/>
    <w:rsid w:val="00B5120C"/>
    <w:rsid w:val="00B517E9"/>
    <w:rsid w:val="00B5293E"/>
    <w:rsid w:val="00B53626"/>
    <w:rsid w:val="00B55D27"/>
    <w:rsid w:val="00B56073"/>
    <w:rsid w:val="00B5647A"/>
    <w:rsid w:val="00B619A3"/>
    <w:rsid w:val="00B621C9"/>
    <w:rsid w:val="00B6421D"/>
    <w:rsid w:val="00B64B70"/>
    <w:rsid w:val="00B65217"/>
    <w:rsid w:val="00B66140"/>
    <w:rsid w:val="00B67956"/>
    <w:rsid w:val="00B7364A"/>
    <w:rsid w:val="00B83757"/>
    <w:rsid w:val="00B83DE8"/>
    <w:rsid w:val="00B87415"/>
    <w:rsid w:val="00B901D2"/>
    <w:rsid w:val="00B91D55"/>
    <w:rsid w:val="00B929BC"/>
    <w:rsid w:val="00B94B68"/>
    <w:rsid w:val="00B94E93"/>
    <w:rsid w:val="00B978BD"/>
    <w:rsid w:val="00B979BA"/>
    <w:rsid w:val="00BA0E38"/>
    <w:rsid w:val="00BA5F85"/>
    <w:rsid w:val="00BA75F8"/>
    <w:rsid w:val="00BA767D"/>
    <w:rsid w:val="00BB6B59"/>
    <w:rsid w:val="00BB76F9"/>
    <w:rsid w:val="00BC06D9"/>
    <w:rsid w:val="00BC48C0"/>
    <w:rsid w:val="00BC5A14"/>
    <w:rsid w:val="00BC6481"/>
    <w:rsid w:val="00BC6B5A"/>
    <w:rsid w:val="00BD2FBB"/>
    <w:rsid w:val="00BD323C"/>
    <w:rsid w:val="00BD5771"/>
    <w:rsid w:val="00BD7A06"/>
    <w:rsid w:val="00BE2852"/>
    <w:rsid w:val="00BE2A83"/>
    <w:rsid w:val="00BE4BC8"/>
    <w:rsid w:val="00BE4D81"/>
    <w:rsid w:val="00BE57AE"/>
    <w:rsid w:val="00BE5C58"/>
    <w:rsid w:val="00BE6814"/>
    <w:rsid w:val="00BF08A2"/>
    <w:rsid w:val="00BF0BA7"/>
    <w:rsid w:val="00BF1437"/>
    <w:rsid w:val="00BF1A30"/>
    <w:rsid w:val="00BF25D3"/>
    <w:rsid w:val="00BF5647"/>
    <w:rsid w:val="00BF728A"/>
    <w:rsid w:val="00C00F13"/>
    <w:rsid w:val="00C018F6"/>
    <w:rsid w:val="00C04235"/>
    <w:rsid w:val="00C075FA"/>
    <w:rsid w:val="00C07772"/>
    <w:rsid w:val="00C152CA"/>
    <w:rsid w:val="00C20B8F"/>
    <w:rsid w:val="00C20B9A"/>
    <w:rsid w:val="00C219D5"/>
    <w:rsid w:val="00C223FE"/>
    <w:rsid w:val="00C2308D"/>
    <w:rsid w:val="00C23183"/>
    <w:rsid w:val="00C2562B"/>
    <w:rsid w:val="00C278C9"/>
    <w:rsid w:val="00C30416"/>
    <w:rsid w:val="00C30A6F"/>
    <w:rsid w:val="00C30DF3"/>
    <w:rsid w:val="00C318DE"/>
    <w:rsid w:val="00C33453"/>
    <w:rsid w:val="00C401DE"/>
    <w:rsid w:val="00C460E4"/>
    <w:rsid w:val="00C463DC"/>
    <w:rsid w:val="00C5050F"/>
    <w:rsid w:val="00C50F47"/>
    <w:rsid w:val="00C52198"/>
    <w:rsid w:val="00C524B6"/>
    <w:rsid w:val="00C53B05"/>
    <w:rsid w:val="00C5795F"/>
    <w:rsid w:val="00C6117B"/>
    <w:rsid w:val="00C619DC"/>
    <w:rsid w:val="00C64FB1"/>
    <w:rsid w:val="00C7231A"/>
    <w:rsid w:val="00C734E4"/>
    <w:rsid w:val="00C74B5A"/>
    <w:rsid w:val="00C74EB1"/>
    <w:rsid w:val="00C873A4"/>
    <w:rsid w:val="00C90EA9"/>
    <w:rsid w:val="00CA1224"/>
    <w:rsid w:val="00CB165F"/>
    <w:rsid w:val="00CB18A2"/>
    <w:rsid w:val="00CB3621"/>
    <w:rsid w:val="00CC1380"/>
    <w:rsid w:val="00CC7D91"/>
    <w:rsid w:val="00CD08DD"/>
    <w:rsid w:val="00CD1A96"/>
    <w:rsid w:val="00CD2824"/>
    <w:rsid w:val="00CD7641"/>
    <w:rsid w:val="00CE05DB"/>
    <w:rsid w:val="00CE0777"/>
    <w:rsid w:val="00CE1474"/>
    <w:rsid w:val="00CE1F67"/>
    <w:rsid w:val="00CE2393"/>
    <w:rsid w:val="00CE26D7"/>
    <w:rsid w:val="00CE2E2F"/>
    <w:rsid w:val="00CE36F1"/>
    <w:rsid w:val="00CE3FF2"/>
    <w:rsid w:val="00CE5260"/>
    <w:rsid w:val="00CE56AB"/>
    <w:rsid w:val="00CE6395"/>
    <w:rsid w:val="00CE6BE3"/>
    <w:rsid w:val="00CE7641"/>
    <w:rsid w:val="00CE77D7"/>
    <w:rsid w:val="00CF0FFD"/>
    <w:rsid w:val="00CF2406"/>
    <w:rsid w:val="00CF4162"/>
    <w:rsid w:val="00CF4528"/>
    <w:rsid w:val="00CF4C5E"/>
    <w:rsid w:val="00CF74B8"/>
    <w:rsid w:val="00D01374"/>
    <w:rsid w:val="00D02E0E"/>
    <w:rsid w:val="00D05363"/>
    <w:rsid w:val="00D1117C"/>
    <w:rsid w:val="00D125AC"/>
    <w:rsid w:val="00D12F91"/>
    <w:rsid w:val="00D155DC"/>
    <w:rsid w:val="00D20D5C"/>
    <w:rsid w:val="00D21EDC"/>
    <w:rsid w:val="00D23502"/>
    <w:rsid w:val="00D237D5"/>
    <w:rsid w:val="00D242BD"/>
    <w:rsid w:val="00D2545E"/>
    <w:rsid w:val="00D2714E"/>
    <w:rsid w:val="00D336EC"/>
    <w:rsid w:val="00D34AAF"/>
    <w:rsid w:val="00D36E59"/>
    <w:rsid w:val="00D40367"/>
    <w:rsid w:val="00D40956"/>
    <w:rsid w:val="00D44FB4"/>
    <w:rsid w:val="00D46BED"/>
    <w:rsid w:val="00D46DD0"/>
    <w:rsid w:val="00D515A2"/>
    <w:rsid w:val="00D51D58"/>
    <w:rsid w:val="00D53D4E"/>
    <w:rsid w:val="00D55309"/>
    <w:rsid w:val="00D567D8"/>
    <w:rsid w:val="00D56A56"/>
    <w:rsid w:val="00D624FA"/>
    <w:rsid w:val="00D62A23"/>
    <w:rsid w:val="00D64390"/>
    <w:rsid w:val="00D648DD"/>
    <w:rsid w:val="00D66F15"/>
    <w:rsid w:val="00D71C76"/>
    <w:rsid w:val="00D7210F"/>
    <w:rsid w:val="00D72DDC"/>
    <w:rsid w:val="00D761A3"/>
    <w:rsid w:val="00D8078E"/>
    <w:rsid w:val="00D8339C"/>
    <w:rsid w:val="00D8377A"/>
    <w:rsid w:val="00D83D65"/>
    <w:rsid w:val="00D85ED0"/>
    <w:rsid w:val="00D874D3"/>
    <w:rsid w:val="00D87815"/>
    <w:rsid w:val="00D93BE8"/>
    <w:rsid w:val="00D93F81"/>
    <w:rsid w:val="00D94428"/>
    <w:rsid w:val="00D9558B"/>
    <w:rsid w:val="00D957E5"/>
    <w:rsid w:val="00D95832"/>
    <w:rsid w:val="00D965A7"/>
    <w:rsid w:val="00DA1DA5"/>
    <w:rsid w:val="00DA4A8E"/>
    <w:rsid w:val="00DA52DE"/>
    <w:rsid w:val="00DA673D"/>
    <w:rsid w:val="00DB15E7"/>
    <w:rsid w:val="00DB3214"/>
    <w:rsid w:val="00DB7338"/>
    <w:rsid w:val="00DB7D09"/>
    <w:rsid w:val="00DB7FF7"/>
    <w:rsid w:val="00DC161E"/>
    <w:rsid w:val="00DC7BA5"/>
    <w:rsid w:val="00DD02DE"/>
    <w:rsid w:val="00DD1630"/>
    <w:rsid w:val="00DD2160"/>
    <w:rsid w:val="00DD409B"/>
    <w:rsid w:val="00DD583B"/>
    <w:rsid w:val="00DD5986"/>
    <w:rsid w:val="00DE07A3"/>
    <w:rsid w:val="00DE109C"/>
    <w:rsid w:val="00DE28F7"/>
    <w:rsid w:val="00DE52B1"/>
    <w:rsid w:val="00DE60E8"/>
    <w:rsid w:val="00DE7687"/>
    <w:rsid w:val="00DE7FC8"/>
    <w:rsid w:val="00DF0B7E"/>
    <w:rsid w:val="00DF1DD2"/>
    <w:rsid w:val="00DF4C2E"/>
    <w:rsid w:val="00DF5546"/>
    <w:rsid w:val="00E00D69"/>
    <w:rsid w:val="00E04FA7"/>
    <w:rsid w:val="00E05729"/>
    <w:rsid w:val="00E06321"/>
    <w:rsid w:val="00E068EF"/>
    <w:rsid w:val="00E06C8E"/>
    <w:rsid w:val="00E07DDF"/>
    <w:rsid w:val="00E106CC"/>
    <w:rsid w:val="00E134CE"/>
    <w:rsid w:val="00E14889"/>
    <w:rsid w:val="00E14B57"/>
    <w:rsid w:val="00E1743E"/>
    <w:rsid w:val="00E20A48"/>
    <w:rsid w:val="00E212CD"/>
    <w:rsid w:val="00E2161F"/>
    <w:rsid w:val="00E23D5C"/>
    <w:rsid w:val="00E255A0"/>
    <w:rsid w:val="00E26838"/>
    <w:rsid w:val="00E27CD0"/>
    <w:rsid w:val="00E30092"/>
    <w:rsid w:val="00E306FA"/>
    <w:rsid w:val="00E3226A"/>
    <w:rsid w:val="00E33135"/>
    <w:rsid w:val="00E350DA"/>
    <w:rsid w:val="00E37558"/>
    <w:rsid w:val="00E40C89"/>
    <w:rsid w:val="00E44314"/>
    <w:rsid w:val="00E5094F"/>
    <w:rsid w:val="00E52A65"/>
    <w:rsid w:val="00E52E5A"/>
    <w:rsid w:val="00E54BAE"/>
    <w:rsid w:val="00E5576F"/>
    <w:rsid w:val="00E56B3D"/>
    <w:rsid w:val="00E57BF2"/>
    <w:rsid w:val="00E62482"/>
    <w:rsid w:val="00E6464A"/>
    <w:rsid w:val="00E66C49"/>
    <w:rsid w:val="00E72A1E"/>
    <w:rsid w:val="00E7312C"/>
    <w:rsid w:val="00E737B5"/>
    <w:rsid w:val="00E74166"/>
    <w:rsid w:val="00E77D0D"/>
    <w:rsid w:val="00E80DFC"/>
    <w:rsid w:val="00E8334E"/>
    <w:rsid w:val="00E85A70"/>
    <w:rsid w:val="00E872FE"/>
    <w:rsid w:val="00E90217"/>
    <w:rsid w:val="00E90FE4"/>
    <w:rsid w:val="00E91488"/>
    <w:rsid w:val="00E915BD"/>
    <w:rsid w:val="00E943E0"/>
    <w:rsid w:val="00E95A8F"/>
    <w:rsid w:val="00E95C5A"/>
    <w:rsid w:val="00EA13AE"/>
    <w:rsid w:val="00EA73EF"/>
    <w:rsid w:val="00EB2F2D"/>
    <w:rsid w:val="00EB3C9F"/>
    <w:rsid w:val="00EB51E7"/>
    <w:rsid w:val="00EB5A34"/>
    <w:rsid w:val="00EB7113"/>
    <w:rsid w:val="00EC06BA"/>
    <w:rsid w:val="00EC599B"/>
    <w:rsid w:val="00EC5C40"/>
    <w:rsid w:val="00EC70F0"/>
    <w:rsid w:val="00ED0581"/>
    <w:rsid w:val="00ED0C20"/>
    <w:rsid w:val="00ED2ACE"/>
    <w:rsid w:val="00ED4BDC"/>
    <w:rsid w:val="00ED76E9"/>
    <w:rsid w:val="00EE0830"/>
    <w:rsid w:val="00EE30ED"/>
    <w:rsid w:val="00EE3525"/>
    <w:rsid w:val="00EE45E3"/>
    <w:rsid w:val="00EE552F"/>
    <w:rsid w:val="00EF2FF8"/>
    <w:rsid w:val="00EF3ED5"/>
    <w:rsid w:val="00EF4797"/>
    <w:rsid w:val="00EF4DCD"/>
    <w:rsid w:val="00EF62BF"/>
    <w:rsid w:val="00F01310"/>
    <w:rsid w:val="00F01BA7"/>
    <w:rsid w:val="00F07115"/>
    <w:rsid w:val="00F0753E"/>
    <w:rsid w:val="00F12B9C"/>
    <w:rsid w:val="00F12F07"/>
    <w:rsid w:val="00F14147"/>
    <w:rsid w:val="00F148BE"/>
    <w:rsid w:val="00F15E23"/>
    <w:rsid w:val="00F16AA7"/>
    <w:rsid w:val="00F16E34"/>
    <w:rsid w:val="00F203C3"/>
    <w:rsid w:val="00F20F82"/>
    <w:rsid w:val="00F2284C"/>
    <w:rsid w:val="00F278F7"/>
    <w:rsid w:val="00F30C61"/>
    <w:rsid w:val="00F30E30"/>
    <w:rsid w:val="00F314C9"/>
    <w:rsid w:val="00F31A13"/>
    <w:rsid w:val="00F34395"/>
    <w:rsid w:val="00F4268F"/>
    <w:rsid w:val="00F44C9E"/>
    <w:rsid w:val="00F454F3"/>
    <w:rsid w:val="00F502BF"/>
    <w:rsid w:val="00F516E8"/>
    <w:rsid w:val="00F52EEF"/>
    <w:rsid w:val="00F53246"/>
    <w:rsid w:val="00F545A1"/>
    <w:rsid w:val="00F60474"/>
    <w:rsid w:val="00F6055A"/>
    <w:rsid w:val="00F61B71"/>
    <w:rsid w:val="00F640C3"/>
    <w:rsid w:val="00F66D50"/>
    <w:rsid w:val="00F70E8D"/>
    <w:rsid w:val="00F718BA"/>
    <w:rsid w:val="00F72AA8"/>
    <w:rsid w:val="00F75C6B"/>
    <w:rsid w:val="00F77841"/>
    <w:rsid w:val="00F8176E"/>
    <w:rsid w:val="00F82B22"/>
    <w:rsid w:val="00F82D97"/>
    <w:rsid w:val="00F849D0"/>
    <w:rsid w:val="00F8516C"/>
    <w:rsid w:val="00F86481"/>
    <w:rsid w:val="00F867A3"/>
    <w:rsid w:val="00F91FA4"/>
    <w:rsid w:val="00F961E3"/>
    <w:rsid w:val="00F97788"/>
    <w:rsid w:val="00FA1036"/>
    <w:rsid w:val="00FA24EA"/>
    <w:rsid w:val="00FB03A3"/>
    <w:rsid w:val="00FB1A96"/>
    <w:rsid w:val="00FB59C1"/>
    <w:rsid w:val="00FB635B"/>
    <w:rsid w:val="00FC1AFA"/>
    <w:rsid w:val="00FC4834"/>
    <w:rsid w:val="00FC6ACF"/>
    <w:rsid w:val="00FC74FD"/>
    <w:rsid w:val="00FD0E0C"/>
    <w:rsid w:val="00FD3337"/>
    <w:rsid w:val="00FD50E6"/>
    <w:rsid w:val="00FD63D9"/>
    <w:rsid w:val="00FD7AC0"/>
    <w:rsid w:val="00FE3407"/>
    <w:rsid w:val="00FE4131"/>
    <w:rsid w:val="00FE4A0A"/>
    <w:rsid w:val="00FE4D7D"/>
    <w:rsid w:val="00FE5E40"/>
    <w:rsid w:val="00FE6796"/>
    <w:rsid w:val="00FE6AC1"/>
    <w:rsid w:val="00FE792D"/>
    <w:rsid w:val="00FF016E"/>
    <w:rsid w:val="00FF10DC"/>
    <w:rsid w:val="00FF3E3A"/>
    <w:rsid w:val="00FF5408"/>
    <w:rsid w:val="01AD6336"/>
    <w:rsid w:val="01CE3871"/>
    <w:rsid w:val="038627B8"/>
    <w:rsid w:val="04115339"/>
    <w:rsid w:val="04AA1480"/>
    <w:rsid w:val="060B7677"/>
    <w:rsid w:val="061A5313"/>
    <w:rsid w:val="0641548F"/>
    <w:rsid w:val="0698417D"/>
    <w:rsid w:val="069D30AE"/>
    <w:rsid w:val="06CD6568"/>
    <w:rsid w:val="070754CD"/>
    <w:rsid w:val="0734625B"/>
    <w:rsid w:val="07351825"/>
    <w:rsid w:val="07F80399"/>
    <w:rsid w:val="086122F7"/>
    <w:rsid w:val="088E4584"/>
    <w:rsid w:val="08E73F86"/>
    <w:rsid w:val="09C02BBF"/>
    <w:rsid w:val="0ABD67A5"/>
    <w:rsid w:val="0ABE0722"/>
    <w:rsid w:val="0AC74C67"/>
    <w:rsid w:val="0AEC4C33"/>
    <w:rsid w:val="0AF81F7D"/>
    <w:rsid w:val="0AF9651E"/>
    <w:rsid w:val="0B4A7FAA"/>
    <w:rsid w:val="0BC24B89"/>
    <w:rsid w:val="0BF608EB"/>
    <w:rsid w:val="0CA57967"/>
    <w:rsid w:val="0D4A190D"/>
    <w:rsid w:val="0D9A18D0"/>
    <w:rsid w:val="0DD0188F"/>
    <w:rsid w:val="0EB94892"/>
    <w:rsid w:val="0F5F7948"/>
    <w:rsid w:val="10BE71C3"/>
    <w:rsid w:val="112A3644"/>
    <w:rsid w:val="11337EFB"/>
    <w:rsid w:val="115713ED"/>
    <w:rsid w:val="12121771"/>
    <w:rsid w:val="12434FAD"/>
    <w:rsid w:val="12F66907"/>
    <w:rsid w:val="130A6356"/>
    <w:rsid w:val="1373353A"/>
    <w:rsid w:val="1426405A"/>
    <w:rsid w:val="14481B6D"/>
    <w:rsid w:val="145C0D77"/>
    <w:rsid w:val="15537400"/>
    <w:rsid w:val="15562652"/>
    <w:rsid w:val="1583223F"/>
    <w:rsid w:val="15F546BA"/>
    <w:rsid w:val="160E5BA4"/>
    <w:rsid w:val="16595AD6"/>
    <w:rsid w:val="165D02EF"/>
    <w:rsid w:val="168B794A"/>
    <w:rsid w:val="16A03FC3"/>
    <w:rsid w:val="16D1158E"/>
    <w:rsid w:val="17183CCA"/>
    <w:rsid w:val="17452200"/>
    <w:rsid w:val="176420E2"/>
    <w:rsid w:val="17755C66"/>
    <w:rsid w:val="178B74E4"/>
    <w:rsid w:val="18127246"/>
    <w:rsid w:val="18376C5B"/>
    <w:rsid w:val="19FE3D52"/>
    <w:rsid w:val="1A680331"/>
    <w:rsid w:val="1A7C2890"/>
    <w:rsid w:val="1AAD2485"/>
    <w:rsid w:val="1B0051DB"/>
    <w:rsid w:val="1B5653C7"/>
    <w:rsid w:val="1B975ED5"/>
    <w:rsid w:val="1C0468E0"/>
    <w:rsid w:val="1D0B0A16"/>
    <w:rsid w:val="1D650CC3"/>
    <w:rsid w:val="1DF36F10"/>
    <w:rsid w:val="1F4D61EB"/>
    <w:rsid w:val="1FB41075"/>
    <w:rsid w:val="207E6C00"/>
    <w:rsid w:val="20B2740F"/>
    <w:rsid w:val="212878D8"/>
    <w:rsid w:val="21396CB8"/>
    <w:rsid w:val="21AA7CA6"/>
    <w:rsid w:val="21FF2B6B"/>
    <w:rsid w:val="22B15D07"/>
    <w:rsid w:val="22DF7DFC"/>
    <w:rsid w:val="23121934"/>
    <w:rsid w:val="238555C9"/>
    <w:rsid w:val="23A32375"/>
    <w:rsid w:val="245501C2"/>
    <w:rsid w:val="24E07E36"/>
    <w:rsid w:val="25027CEC"/>
    <w:rsid w:val="25D474A1"/>
    <w:rsid w:val="25E01AE5"/>
    <w:rsid w:val="260C0C73"/>
    <w:rsid w:val="263458F1"/>
    <w:rsid w:val="268948EC"/>
    <w:rsid w:val="27240F9C"/>
    <w:rsid w:val="272B664F"/>
    <w:rsid w:val="27D0173F"/>
    <w:rsid w:val="281B2B80"/>
    <w:rsid w:val="28227A69"/>
    <w:rsid w:val="288256D1"/>
    <w:rsid w:val="28F81A01"/>
    <w:rsid w:val="29630D60"/>
    <w:rsid w:val="29845C8E"/>
    <w:rsid w:val="29976826"/>
    <w:rsid w:val="2A925AA7"/>
    <w:rsid w:val="2AA25AAF"/>
    <w:rsid w:val="2AD77541"/>
    <w:rsid w:val="2B0651FF"/>
    <w:rsid w:val="2BBE7D2C"/>
    <w:rsid w:val="2BEE5854"/>
    <w:rsid w:val="2C897AD5"/>
    <w:rsid w:val="2D2C75CF"/>
    <w:rsid w:val="2D4C2D0F"/>
    <w:rsid w:val="2D834FA0"/>
    <w:rsid w:val="2D8C25BE"/>
    <w:rsid w:val="2ED647A7"/>
    <w:rsid w:val="2ED6546B"/>
    <w:rsid w:val="2ED96FE6"/>
    <w:rsid w:val="2F3A2D11"/>
    <w:rsid w:val="2F9D42C1"/>
    <w:rsid w:val="2FEF61B9"/>
    <w:rsid w:val="307562FE"/>
    <w:rsid w:val="308835B0"/>
    <w:rsid w:val="30A17FDC"/>
    <w:rsid w:val="313E40CB"/>
    <w:rsid w:val="31CD2A70"/>
    <w:rsid w:val="31F01E96"/>
    <w:rsid w:val="320870E0"/>
    <w:rsid w:val="3210025C"/>
    <w:rsid w:val="321155EF"/>
    <w:rsid w:val="321928CB"/>
    <w:rsid w:val="32352F48"/>
    <w:rsid w:val="32407E2C"/>
    <w:rsid w:val="3297664C"/>
    <w:rsid w:val="32B86216"/>
    <w:rsid w:val="330F1437"/>
    <w:rsid w:val="33ED4BAD"/>
    <w:rsid w:val="345676E2"/>
    <w:rsid w:val="345E214B"/>
    <w:rsid w:val="3621189E"/>
    <w:rsid w:val="36405BAA"/>
    <w:rsid w:val="36837E96"/>
    <w:rsid w:val="36C74C41"/>
    <w:rsid w:val="36E81D5E"/>
    <w:rsid w:val="379F2C44"/>
    <w:rsid w:val="387D7DFF"/>
    <w:rsid w:val="38DB08A3"/>
    <w:rsid w:val="397C2D3D"/>
    <w:rsid w:val="39AF4AF7"/>
    <w:rsid w:val="3A815CFC"/>
    <w:rsid w:val="3ADC246A"/>
    <w:rsid w:val="3AE8609C"/>
    <w:rsid w:val="3BB448C9"/>
    <w:rsid w:val="3C8A3F43"/>
    <w:rsid w:val="3D690B94"/>
    <w:rsid w:val="3D6B6F29"/>
    <w:rsid w:val="3D7A7192"/>
    <w:rsid w:val="3E3B24BF"/>
    <w:rsid w:val="3E6C3FAF"/>
    <w:rsid w:val="3EA51E2C"/>
    <w:rsid w:val="3EAC040D"/>
    <w:rsid w:val="3EF34B07"/>
    <w:rsid w:val="3FC52740"/>
    <w:rsid w:val="3FFC7A90"/>
    <w:rsid w:val="406D1780"/>
    <w:rsid w:val="413D5C6F"/>
    <w:rsid w:val="41A22AC3"/>
    <w:rsid w:val="41DE0C28"/>
    <w:rsid w:val="434314FE"/>
    <w:rsid w:val="435C52D6"/>
    <w:rsid w:val="43645516"/>
    <w:rsid w:val="44031C2A"/>
    <w:rsid w:val="44276889"/>
    <w:rsid w:val="44EB798A"/>
    <w:rsid w:val="459C36BB"/>
    <w:rsid w:val="4706752E"/>
    <w:rsid w:val="475E2800"/>
    <w:rsid w:val="47A706EE"/>
    <w:rsid w:val="488A01D5"/>
    <w:rsid w:val="48BC0178"/>
    <w:rsid w:val="49A9444F"/>
    <w:rsid w:val="49EE28F9"/>
    <w:rsid w:val="4A20103D"/>
    <w:rsid w:val="4A9061CF"/>
    <w:rsid w:val="4A955F53"/>
    <w:rsid w:val="4B144D40"/>
    <w:rsid w:val="4B4107D0"/>
    <w:rsid w:val="4B805A5F"/>
    <w:rsid w:val="4BFD2C74"/>
    <w:rsid w:val="4C234937"/>
    <w:rsid w:val="4C272014"/>
    <w:rsid w:val="4C2B36E5"/>
    <w:rsid w:val="4D81453D"/>
    <w:rsid w:val="4DCB1184"/>
    <w:rsid w:val="4DDD5294"/>
    <w:rsid w:val="4E8F1021"/>
    <w:rsid w:val="4E960D48"/>
    <w:rsid w:val="4EE707FB"/>
    <w:rsid w:val="4F6A10C6"/>
    <w:rsid w:val="4FB17A29"/>
    <w:rsid w:val="5080701B"/>
    <w:rsid w:val="50A779F3"/>
    <w:rsid w:val="51057F79"/>
    <w:rsid w:val="51475CC0"/>
    <w:rsid w:val="51694330"/>
    <w:rsid w:val="51AF698E"/>
    <w:rsid w:val="54AA0A30"/>
    <w:rsid w:val="55EB77C0"/>
    <w:rsid w:val="562F0357"/>
    <w:rsid w:val="566E1BF3"/>
    <w:rsid w:val="569F775B"/>
    <w:rsid w:val="57303A7C"/>
    <w:rsid w:val="58337254"/>
    <w:rsid w:val="58E00C77"/>
    <w:rsid w:val="59AD1538"/>
    <w:rsid w:val="59B41E49"/>
    <w:rsid w:val="5A0B5E95"/>
    <w:rsid w:val="5A246F57"/>
    <w:rsid w:val="5A377F44"/>
    <w:rsid w:val="5A8D1073"/>
    <w:rsid w:val="5AF00B1A"/>
    <w:rsid w:val="5AF95A23"/>
    <w:rsid w:val="5B4E0B38"/>
    <w:rsid w:val="5B5E75EC"/>
    <w:rsid w:val="5B9613B7"/>
    <w:rsid w:val="5BCB44AB"/>
    <w:rsid w:val="5BF13CF3"/>
    <w:rsid w:val="5C2B273D"/>
    <w:rsid w:val="5CBF18BC"/>
    <w:rsid w:val="5E022EA9"/>
    <w:rsid w:val="5E164D40"/>
    <w:rsid w:val="5EA1196F"/>
    <w:rsid w:val="5EEA4CD2"/>
    <w:rsid w:val="5EFB3F9A"/>
    <w:rsid w:val="5F4F7A12"/>
    <w:rsid w:val="5F9C495E"/>
    <w:rsid w:val="60A239C9"/>
    <w:rsid w:val="613A17BA"/>
    <w:rsid w:val="617F1A46"/>
    <w:rsid w:val="62640253"/>
    <w:rsid w:val="62C74C67"/>
    <w:rsid w:val="633852C5"/>
    <w:rsid w:val="63851CFD"/>
    <w:rsid w:val="639748A0"/>
    <w:rsid w:val="639D2515"/>
    <w:rsid w:val="63B12810"/>
    <w:rsid w:val="63D650D3"/>
    <w:rsid w:val="6530763D"/>
    <w:rsid w:val="65D6318A"/>
    <w:rsid w:val="668E1C3C"/>
    <w:rsid w:val="676C2CBF"/>
    <w:rsid w:val="67AF7BB4"/>
    <w:rsid w:val="691F09A3"/>
    <w:rsid w:val="69500604"/>
    <w:rsid w:val="696D08E0"/>
    <w:rsid w:val="69C15A14"/>
    <w:rsid w:val="69CC2B0F"/>
    <w:rsid w:val="6A1A7C7F"/>
    <w:rsid w:val="6A8848D8"/>
    <w:rsid w:val="6AB51E4F"/>
    <w:rsid w:val="6AC10B58"/>
    <w:rsid w:val="6B8954B5"/>
    <w:rsid w:val="6BDF5F4E"/>
    <w:rsid w:val="6C50014D"/>
    <w:rsid w:val="6C597288"/>
    <w:rsid w:val="6C612D7E"/>
    <w:rsid w:val="6C9D1BCF"/>
    <w:rsid w:val="6D3470DE"/>
    <w:rsid w:val="6D8466FE"/>
    <w:rsid w:val="6D914092"/>
    <w:rsid w:val="6E0C2203"/>
    <w:rsid w:val="6F0F18E5"/>
    <w:rsid w:val="6F364B5F"/>
    <w:rsid w:val="6F3E4050"/>
    <w:rsid w:val="6F5B5650"/>
    <w:rsid w:val="70866EC3"/>
    <w:rsid w:val="70F161A9"/>
    <w:rsid w:val="714E09F3"/>
    <w:rsid w:val="71FA1C5E"/>
    <w:rsid w:val="720B608D"/>
    <w:rsid w:val="72323F70"/>
    <w:rsid w:val="736056FB"/>
    <w:rsid w:val="73A96C48"/>
    <w:rsid w:val="74527DA5"/>
    <w:rsid w:val="748847CC"/>
    <w:rsid w:val="74DA7702"/>
    <w:rsid w:val="75127471"/>
    <w:rsid w:val="768207A5"/>
    <w:rsid w:val="76A2179B"/>
    <w:rsid w:val="76D51348"/>
    <w:rsid w:val="76D66050"/>
    <w:rsid w:val="770352EE"/>
    <w:rsid w:val="785437D3"/>
    <w:rsid w:val="78565AAF"/>
    <w:rsid w:val="78BE7CBA"/>
    <w:rsid w:val="79430348"/>
    <w:rsid w:val="79701A39"/>
    <w:rsid w:val="7A082988"/>
    <w:rsid w:val="7A4D4FC3"/>
    <w:rsid w:val="7AB87EDD"/>
    <w:rsid w:val="7AE64B83"/>
    <w:rsid w:val="7B002162"/>
    <w:rsid w:val="7B124FB7"/>
    <w:rsid w:val="7B361A8A"/>
    <w:rsid w:val="7BAE5A06"/>
    <w:rsid w:val="7C217A85"/>
    <w:rsid w:val="7DDB2B1D"/>
    <w:rsid w:val="7E042102"/>
    <w:rsid w:val="7E8E0310"/>
    <w:rsid w:val="7F1D5ECC"/>
    <w:rsid w:val="7F3F79CD"/>
    <w:rsid w:val="7F8E7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3E62ED-9F1C-45EA-BD16-DECAAF734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EastAsia" w:hAnsiTheme="minorHAnsi" w:cstheme="minorBidi"/>
      <w:sz w:val="22"/>
      <w:szCs w:val="22"/>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uiPriority w:val="9"/>
    <w:qFormat/>
    <w:pPr>
      <w:numPr>
        <w:numId w:val="0"/>
      </w:numPr>
      <w:pBdr>
        <w:top w:val="none" w:sz="0" w:space="0" w:color="auto"/>
      </w:pBdr>
      <w:spacing w:before="180"/>
      <w:outlineLvl w:val="1"/>
    </w:pPr>
    <w:rPr>
      <w:sz w:val="32"/>
      <w:szCs w:val="32"/>
    </w:rPr>
  </w:style>
  <w:style w:type="paragraph" w:styleId="Heading3">
    <w:name w:val="heading 3"/>
    <w:basedOn w:val="Normal"/>
    <w:next w:val="Normal"/>
    <w:unhideWhenUsed/>
    <w:qFormat/>
    <w:pPr>
      <w:keepNext/>
      <w:keepLines/>
      <w:spacing w:before="260" w:after="260" w:line="413"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Caption">
    <w:name w:val="caption"/>
    <w:basedOn w:val="Normal"/>
    <w:next w:val="Normal"/>
    <w:link w:val="Caption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BodyText">
    <w:name w:val="Body Text"/>
    <w:basedOn w:val="Normal"/>
    <w:link w:val="BodyTextChar"/>
    <w:qFormat/>
    <w:pPr>
      <w:spacing w:after="180" w:line="240" w:lineRule="auto"/>
    </w:pPr>
    <w:rPr>
      <w:rFonts w:ascii="Times New Roman" w:hAnsi="Times New Roman" w:cs="Times New Roman"/>
      <w:sz w:val="20"/>
      <w:szCs w:val="20"/>
      <w:lang w:val="en-GB" w:eastAsia="en-US"/>
    </w:rPr>
  </w:style>
  <w:style w:type="paragraph" w:styleId="BalloonText">
    <w:name w:val="Balloon Text"/>
    <w:basedOn w:val="Normal"/>
    <w:link w:val="BalloonTextChar"/>
    <w:qFormat/>
    <w:pPr>
      <w:spacing w:after="0" w:line="240" w:lineRule="auto"/>
    </w:pPr>
    <w:rPr>
      <w:sz w:val="18"/>
      <w:szCs w:val="18"/>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spacing w:line="240" w:lineRule="auto"/>
      <w:jc w:val="center"/>
    </w:pPr>
    <w:rPr>
      <w:sz w:val="18"/>
      <w:szCs w:val="18"/>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21"/>
      <w:szCs w:val="21"/>
    </w:rPr>
  </w:style>
  <w:style w:type="table" w:styleId="TableGrid">
    <w:name w:val="Table Grid"/>
    <w:basedOn w:val="TableNormal"/>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Normal"/>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Normal"/>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Normal"/>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Normal"/>
    <w:link w:val="ListParagraphChar"/>
    <w:uiPriority w:val="34"/>
    <w:qFormat/>
    <w:pPr>
      <w:ind w:left="720"/>
      <w:contextualSpacing/>
    </w:pPr>
  </w:style>
  <w:style w:type="character" w:customStyle="1" w:styleId="BalloonTextChar">
    <w:name w:val="Balloon Text Char"/>
    <w:basedOn w:val="DefaultParagraphFont"/>
    <w:link w:val="BalloonText"/>
    <w:qFormat/>
    <w:rPr>
      <w:rFonts w:asciiTheme="minorHAnsi" w:eastAsiaTheme="minorEastAsia" w:hAnsiTheme="minorHAnsi" w:cstheme="minorBidi"/>
      <w:sz w:val="18"/>
      <w:szCs w:val="18"/>
    </w:rPr>
  </w:style>
  <w:style w:type="paragraph" w:styleId="ListParagraph">
    <w:name w:val="List Paragraph"/>
    <w:basedOn w:val="Normal"/>
    <w:uiPriority w:val="99"/>
    <w:qFormat/>
    <w:pPr>
      <w:ind w:firstLineChars="200" w:firstLine="420"/>
    </w:pPr>
  </w:style>
  <w:style w:type="character" w:customStyle="1" w:styleId="CommentTextChar">
    <w:name w:val="Comment Text Char"/>
    <w:basedOn w:val="DefaultParagraphFont"/>
    <w:link w:val="CommentText"/>
    <w:qFormat/>
    <w:rPr>
      <w:rFonts w:asciiTheme="minorHAnsi" w:eastAsiaTheme="minorEastAsia" w:hAnsiTheme="minorHAnsi" w:cstheme="minorBidi"/>
      <w:sz w:val="22"/>
      <w:szCs w:val="22"/>
    </w:rPr>
  </w:style>
  <w:style w:type="character" w:customStyle="1" w:styleId="CommentSubjectChar">
    <w:name w:val="Comment Subject Char"/>
    <w:basedOn w:val="CommentTextChar"/>
    <w:link w:val="CommentSubject"/>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HeaderChar">
    <w:name w:val="Header Char"/>
    <w:basedOn w:val="DefaultParagraphFont"/>
    <w:link w:val="Header"/>
    <w:qFormat/>
    <w:rPr>
      <w:rFonts w:asciiTheme="minorHAnsi" w:eastAsiaTheme="minorEastAsia" w:hAnsiTheme="minorHAnsi" w:cstheme="minorBidi"/>
      <w:sz w:val="18"/>
      <w:szCs w:val="18"/>
    </w:rPr>
  </w:style>
  <w:style w:type="character" w:customStyle="1" w:styleId="FooterChar">
    <w:name w:val="Footer Char"/>
    <w:basedOn w:val="DefaultParagraphFont"/>
    <w:link w:val="Footer"/>
    <w:qFormat/>
    <w:rPr>
      <w:rFonts w:asciiTheme="minorHAnsi" w:eastAsiaTheme="minorEastAsia" w:hAnsiTheme="minorHAnsi" w:cstheme="minorBidi"/>
      <w:sz w:val="18"/>
      <w:szCs w:val="18"/>
    </w:rPr>
  </w:style>
  <w:style w:type="character" w:customStyle="1" w:styleId="CaptionChar">
    <w:name w:val="Caption Char"/>
    <w:link w:val="Caption"/>
    <w:qFormat/>
    <w:rPr>
      <w:rFonts w:eastAsia="宋体"/>
      <w:b/>
      <w:bCs/>
      <w:kern w:val="2"/>
      <w:lang w:val="en-GB"/>
    </w:rPr>
  </w:style>
  <w:style w:type="character" w:customStyle="1" w:styleId="BodyTextChar">
    <w:name w:val="Body Text Char"/>
    <w:basedOn w:val="DefaultParagraphFont"/>
    <w:link w:val="BodyText"/>
    <w:qFormat/>
    <w:rPr>
      <w:rFonts w:eastAsiaTheme="minorEastAsia"/>
      <w:lang w:val="en-GB" w:eastAsia="en-US"/>
    </w:rPr>
  </w:style>
  <w:style w:type="paragraph" w:customStyle="1" w:styleId="1">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DefaultParagraphFont"/>
    <w:qFormat/>
  </w:style>
  <w:style w:type="paragraph" w:customStyle="1" w:styleId="Reference">
    <w:name w:val="Reference"/>
    <w:basedOn w:val="Normal"/>
    <w:qFormat/>
    <w:pPr>
      <w:numPr>
        <w:numId w:val="3"/>
      </w:numPr>
      <w:spacing w:after="200" w:line="276" w:lineRule="auto"/>
    </w:pPr>
    <w:rPr>
      <w:rFonts w:ascii="Calibri" w:eastAsia="Calibri" w:hAnsi="Calibri" w:cs="Times New Roman"/>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E0E9A0-BA14-458D-919C-8FB7807F9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2097</Words>
  <Characters>11956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 Zhang-ZTE</cp:lastModifiedBy>
  <cp:revision>174</cp:revision>
  <dcterms:created xsi:type="dcterms:W3CDTF">2020-08-05T10:28:00Z</dcterms:created>
  <dcterms:modified xsi:type="dcterms:W3CDTF">2020-10-23T10:05:00Z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